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57" w:rsidRPr="00F87CFA" w:rsidRDefault="00322F07" w:rsidP="005C6FF5">
      <w:pPr>
        <w:pStyle w:val="Title"/>
      </w:pPr>
      <w:r>
        <w:t xml:space="preserve">Exploring South African </w:t>
      </w:r>
      <w:r w:rsidRPr="00D30497">
        <w:t>Physician</w:t>
      </w:r>
      <w:r>
        <w:t>s’ Acceptance of e-Prescribing</w:t>
      </w:r>
      <w:r w:rsidR="005061F3">
        <w:t xml:space="preserve"> Technology</w:t>
      </w:r>
    </w:p>
    <w:p w:rsidR="00FF7BDC" w:rsidRPr="00F87CFA" w:rsidRDefault="009A183E" w:rsidP="005C6FF5">
      <w:pPr>
        <w:pStyle w:val="Authors"/>
      </w:pPr>
      <w:r>
        <w:t>XXXXXX</w:t>
      </w:r>
    </w:p>
    <w:p w:rsidR="00FF7BDC" w:rsidRPr="00F87CFA" w:rsidRDefault="00FF7BDC" w:rsidP="005C6FF5">
      <w:pPr>
        <w:pStyle w:val="Addresses"/>
        <w:rPr>
          <w:lang w:val="en-GB"/>
        </w:rPr>
      </w:pPr>
      <w:proofErr w:type="gramStart"/>
      <w:r w:rsidRPr="00F87CFA">
        <w:rPr>
          <w:b/>
          <w:bCs/>
          <w:iCs/>
          <w:vertAlign w:val="superscript"/>
          <w:lang w:val="en-GB"/>
        </w:rPr>
        <w:t>a</w:t>
      </w:r>
      <w:proofErr w:type="gramEnd"/>
      <w:r w:rsidRPr="00F87CFA">
        <w:rPr>
          <w:b/>
          <w:bCs/>
          <w:iCs/>
          <w:vertAlign w:val="superscript"/>
          <w:lang w:val="en-GB"/>
        </w:rPr>
        <w:t xml:space="preserve"> </w:t>
      </w:r>
      <w:r w:rsidR="007E615D">
        <w:rPr>
          <w:rStyle w:val="apple-style-span"/>
          <w:color w:val="000000"/>
        </w:rPr>
        <w:t xml:space="preserve">University </w:t>
      </w:r>
      <w:r w:rsidR="009A183E">
        <w:rPr>
          <w:rStyle w:val="apple-style-span"/>
          <w:color w:val="000000"/>
        </w:rPr>
        <w:t>XX</w:t>
      </w:r>
    </w:p>
    <w:p w:rsidR="00392AFA" w:rsidRDefault="00392AFA" w:rsidP="005C6FF5">
      <w:pPr>
        <w:rPr>
          <w:lang w:val="it-IT"/>
        </w:rPr>
      </w:pPr>
    </w:p>
    <w:p w:rsidR="00E0587F" w:rsidRDefault="00E0587F" w:rsidP="005C6FF5">
      <w:pPr>
        <w:rPr>
          <w:lang w:val="it-IT"/>
        </w:rPr>
      </w:pPr>
    </w:p>
    <w:p w:rsidR="00392AFA" w:rsidRPr="00F87CFA" w:rsidRDefault="00392AFA" w:rsidP="005C6FF5">
      <w:pPr>
        <w:rPr>
          <w:lang w:val="it-IT"/>
        </w:rPr>
        <w:sectPr w:rsidR="00392AFA" w:rsidRPr="00F87CFA" w:rsidSect="007F64F2">
          <w:type w:val="continuous"/>
          <w:pgSz w:w="11907" w:h="16840" w:code="9"/>
          <w:pgMar w:top="562" w:right="567" w:bottom="562" w:left="567" w:header="0" w:footer="1440" w:gutter="0"/>
          <w:cols w:space="1152"/>
          <w:noEndnote/>
        </w:sectPr>
      </w:pPr>
    </w:p>
    <w:p w:rsidR="00392AFA" w:rsidRPr="00F87CFA" w:rsidRDefault="002537A9" w:rsidP="005C6FF5">
      <w:pPr>
        <w:pStyle w:val="Heading2"/>
      </w:pPr>
      <w:r>
        <w:lastRenderedPageBreak/>
        <w:t>Abstract</w:t>
      </w:r>
    </w:p>
    <w:p w:rsidR="00392AFA" w:rsidRPr="00685C37" w:rsidRDefault="00397E91" w:rsidP="005C6FF5">
      <w:pPr>
        <w:pStyle w:val="Body"/>
        <w:rPr>
          <w:i/>
        </w:rPr>
      </w:pPr>
      <w:proofErr w:type="gramStart"/>
      <w:r>
        <w:rPr>
          <w:i/>
        </w:rPr>
        <w:t>e-Prescribing</w:t>
      </w:r>
      <w:proofErr w:type="gramEnd"/>
      <w:r>
        <w:rPr>
          <w:i/>
        </w:rPr>
        <w:t xml:space="preserve"> systems hold promise for improving </w:t>
      </w:r>
      <w:r w:rsidR="00E676B4">
        <w:rPr>
          <w:i/>
        </w:rPr>
        <w:t>the quality and efficiency of the scripting process</w:t>
      </w:r>
      <w:r>
        <w:rPr>
          <w:i/>
        </w:rPr>
        <w:t xml:space="preserve">. </w:t>
      </w:r>
      <w:r w:rsidR="00E676B4">
        <w:rPr>
          <w:i/>
        </w:rPr>
        <w:t>Yet, the use of the technology has been associated with a nu</w:t>
      </w:r>
      <w:r w:rsidR="00E676B4">
        <w:rPr>
          <w:i/>
        </w:rPr>
        <w:t>m</w:t>
      </w:r>
      <w:r w:rsidR="00E676B4">
        <w:rPr>
          <w:i/>
        </w:rPr>
        <w:t>ber of challenges. The</w:t>
      </w:r>
      <w:r>
        <w:rPr>
          <w:i/>
        </w:rPr>
        <w:t xml:space="preserve"> diffusion </w:t>
      </w:r>
      <w:r w:rsidR="00E676B4">
        <w:rPr>
          <w:i/>
        </w:rPr>
        <w:t xml:space="preserve">of e-prescribing </w:t>
      </w:r>
      <w:r>
        <w:rPr>
          <w:i/>
        </w:rPr>
        <w:t>into physi</w:t>
      </w:r>
      <w:r w:rsidR="00D430FC">
        <w:rPr>
          <w:i/>
        </w:rPr>
        <w:t>cian practice</w:t>
      </w:r>
      <w:r w:rsidR="005061F3">
        <w:rPr>
          <w:i/>
        </w:rPr>
        <w:t xml:space="preserve">s and </w:t>
      </w:r>
      <w:r w:rsidR="00E676B4">
        <w:rPr>
          <w:i/>
        </w:rPr>
        <w:t xml:space="preserve">the </w:t>
      </w:r>
      <w:r w:rsidR="005061F3">
        <w:rPr>
          <w:i/>
        </w:rPr>
        <w:t xml:space="preserve">consequent realization of </w:t>
      </w:r>
      <w:r w:rsidR="00E676B4">
        <w:rPr>
          <w:i/>
        </w:rPr>
        <w:t xml:space="preserve">its potential </w:t>
      </w:r>
      <w:r w:rsidR="005061F3">
        <w:rPr>
          <w:i/>
        </w:rPr>
        <w:t xml:space="preserve">benefits </w:t>
      </w:r>
      <w:r>
        <w:rPr>
          <w:i/>
        </w:rPr>
        <w:t xml:space="preserve">will depend on </w:t>
      </w:r>
      <w:r w:rsidR="005061F3">
        <w:rPr>
          <w:i/>
        </w:rPr>
        <w:t>whether physicians are willing to accept and</w:t>
      </w:r>
      <w:r w:rsidR="00D430FC">
        <w:rPr>
          <w:i/>
        </w:rPr>
        <w:t xml:space="preserve"> engage with the technology. </w:t>
      </w:r>
      <w:r w:rsidR="002537A9">
        <w:rPr>
          <w:i/>
        </w:rPr>
        <w:t xml:space="preserve">This </w:t>
      </w:r>
      <w:r w:rsidR="005061F3">
        <w:rPr>
          <w:i/>
        </w:rPr>
        <w:t>study</w:t>
      </w:r>
      <w:r w:rsidR="00E676B4">
        <w:rPr>
          <w:i/>
        </w:rPr>
        <w:t xml:space="preserve"> draws on</w:t>
      </w:r>
      <w:r w:rsidR="002537A9">
        <w:rPr>
          <w:i/>
        </w:rPr>
        <w:t xml:space="preserve"> </w:t>
      </w:r>
      <w:r w:rsidR="00E676B4">
        <w:rPr>
          <w:i/>
        </w:rPr>
        <w:t>t</w:t>
      </w:r>
      <w:r w:rsidR="005E1617">
        <w:rPr>
          <w:i/>
        </w:rPr>
        <w:t xml:space="preserve">he Unified Theory of Acceptance and Use of Technology </w:t>
      </w:r>
      <w:r w:rsidR="00E676B4">
        <w:rPr>
          <w:i/>
        </w:rPr>
        <w:t>to</w:t>
      </w:r>
      <w:r w:rsidR="005E1617">
        <w:rPr>
          <w:i/>
        </w:rPr>
        <w:t xml:space="preserve"> </w:t>
      </w:r>
      <w:r w:rsidR="00E676B4">
        <w:rPr>
          <w:i/>
        </w:rPr>
        <w:t>better understand South African physicians’ perceptions of e-prescribing.</w:t>
      </w:r>
      <w:r w:rsidR="005E1617">
        <w:rPr>
          <w:i/>
        </w:rPr>
        <w:t xml:space="preserve"> </w:t>
      </w:r>
      <w:r w:rsidR="002537A9">
        <w:rPr>
          <w:i/>
        </w:rPr>
        <w:t>Data was co</w:t>
      </w:r>
      <w:r w:rsidR="002537A9">
        <w:rPr>
          <w:i/>
        </w:rPr>
        <w:t>l</w:t>
      </w:r>
      <w:r w:rsidR="002537A9">
        <w:rPr>
          <w:i/>
        </w:rPr>
        <w:t xml:space="preserve">lected from </w:t>
      </w:r>
      <w:r w:rsidR="005E1617">
        <w:rPr>
          <w:i/>
        </w:rPr>
        <w:t xml:space="preserve">a sample of </w:t>
      </w:r>
      <w:r w:rsidR="002537A9">
        <w:rPr>
          <w:i/>
        </w:rPr>
        <w:t>72 physicians</w:t>
      </w:r>
      <w:r w:rsidR="00392AFA" w:rsidRPr="00685C37">
        <w:rPr>
          <w:i/>
        </w:rPr>
        <w:t>.</w:t>
      </w:r>
      <w:r w:rsidR="002537A9">
        <w:rPr>
          <w:i/>
        </w:rPr>
        <w:t xml:space="preserve"> Results indicate </w:t>
      </w:r>
      <w:r w:rsidR="00341D70">
        <w:rPr>
          <w:i/>
        </w:rPr>
        <w:t xml:space="preserve">a </w:t>
      </w:r>
      <w:r w:rsidR="005E1617">
        <w:rPr>
          <w:i/>
        </w:rPr>
        <w:t>general</w:t>
      </w:r>
      <w:r w:rsidR="00341D70">
        <w:rPr>
          <w:i/>
        </w:rPr>
        <w:t xml:space="preserve"> </w:t>
      </w:r>
      <w:r w:rsidR="005E1617">
        <w:rPr>
          <w:i/>
        </w:rPr>
        <w:t xml:space="preserve">acceptance </w:t>
      </w:r>
      <w:r w:rsidR="00341D70">
        <w:rPr>
          <w:i/>
        </w:rPr>
        <w:t xml:space="preserve">of e-prescribing </w:t>
      </w:r>
      <w:r w:rsidR="005E1617">
        <w:rPr>
          <w:i/>
        </w:rPr>
        <w:t>amongst phys</w:t>
      </w:r>
      <w:r w:rsidR="005E1617">
        <w:rPr>
          <w:i/>
        </w:rPr>
        <w:t>i</w:t>
      </w:r>
      <w:r w:rsidR="005E1617">
        <w:rPr>
          <w:i/>
        </w:rPr>
        <w:t>cians w</w:t>
      </w:r>
      <w:r w:rsidR="00341D70">
        <w:rPr>
          <w:i/>
        </w:rPr>
        <w:t>ho on average reported</w:t>
      </w:r>
      <w:r w:rsidR="005E1617">
        <w:rPr>
          <w:i/>
        </w:rPr>
        <w:t xml:space="preserve"> </w:t>
      </w:r>
      <w:r w:rsidR="00341D70">
        <w:rPr>
          <w:i/>
        </w:rPr>
        <w:t xml:space="preserve">strong </w:t>
      </w:r>
      <w:r w:rsidR="005E1617">
        <w:rPr>
          <w:i/>
        </w:rPr>
        <w:t xml:space="preserve">intentions to use </w:t>
      </w:r>
      <w:r w:rsidR="00341D70">
        <w:rPr>
          <w:i/>
        </w:rPr>
        <w:t>e-p</w:t>
      </w:r>
      <w:r w:rsidR="005E1617">
        <w:rPr>
          <w:i/>
        </w:rPr>
        <w:t xml:space="preserve">rescribing technologies if given the opportunity. </w:t>
      </w:r>
      <w:r w:rsidR="00E676B4">
        <w:rPr>
          <w:i/>
        </w:rPr>
        <w:t>A number of factors exhibited</w:t>
      </w:r>
      <w:r w:rsidR="005E1617">
        <w:rPr>
          <w:i/>
        </w:rPr>
        <w:t xml:space="preserve"> significant correlations with acceptance. Performance expectancy and trust were the most strongly correlated whilst facilitating conditions</w:t>
      </w:r>
      <w:r w:rsidR="00341D70">
        <w:rPr>
          <w:i/>
        </w:rPr>
        <w:t xml:space="preserve"> and social influence had less significant effects</w:t>
      </w:r>
      <w:r w:rsidR="005E1617">
        <w:rPr>
          <w:i/>
        </w:rPr>
        <w:t>.</w:t>
      </w:r>
    </w:p>
    <w:p w:rsidR="00392AFA" w:rsidRPr="00F87CFA" w:rsidRDefault="002537A9" w:rsidP="005C6FF5">
      <w:pPr>
        <w:pStyle w:val="Heading3"/>
      </w:pPr>
      <w:r>
        <w:t>Keywords:</w:t>
      </w:r>
    </w:p>
    <w:p w:rsidR="00392AFA" w:rsidRPr="00F87CFA" w:rsidRDefault="002537A9" w:rsidP="005C6FF5">
      <w:pPr>
        <w:pStyle w:val="Body"/>
      </w:pPr>
      <w:r>
        <w:t>Electronic prescriptions, technology acceptance, UTAUT</w:t>
      </w:r>
    </w:p>
    <w:p w:rsidR="00392AFA" w:rsidRPr="00F87CFA" w:rsidRDefault="00392AFA" w:rsidP="005C6FF5">
      <w:pPr>
        <w:pStyle w:val="Heading1"/>
      </w:pPr>
      <w:r w:rsidRPr="00F87CFA">
        <w:t>Introduction</w:t>
      </w:r>
    </w:p>
    <w:p w:rsidR="00233DB8" w:rsidRDefault="00233DB8" w:rsidP="00233DB8">
      <w:pPr>
        <w:pStyle w:val="Body"/>
      </w:pPr>
      <w:r>
        <w:t>Electronic prescribing or e-prescribing is the use of i</w:t>
      </w:r>
      <w:r>
        <w:t>n</w:t>
      </w:r>
      <w:r>
        <w:t>formation technology to support physician decision ma</w:t>
      </w:r>
      <w:r>
        <w:t>k</w:t>
      </w:r>
      <w:r>
        <w:t>ing in the capture, review and issue of medication pr</w:t>
      </w:r>
      <w:r>
        <w:t>e</w:t>
      </w:r>
      <w:r>
        <w:t xml:space="preserve">scriptions </w:t>
      </w:r>
      <w:r w:rsidR="003705BD">
        <w:t>[1]</w:t>
      </w:r>
      <w:r>
        <w:t xml:space="preserve">.  In addition to replacing the physician’s prescription pad, e-prescribing systems provide a wide range of functions </w:t>
      </w:r>
      <w:r w:rsidR="003705BD">
        <w:t xml:space="preserve">[2, 3, 4, </w:t>
      </w:r>
      <w:proofErr w:type="gramStart"/>
      <w:r w:rsidR="003705BD">
        <w:t>5</w:t>
      </w:r>
      <w:proofErr w:type="gramEnd"/>
      <w:r w:rsidR="003705BD">
        <w:t>]</w:t>
      </w:r>
      <w:r>
        <w:t>. For example, they can integrate into other patient management systems or pr</w:t>
      </w:r>
      <w:r>
        <w:t>o</w:t>
      </w:r>
      <w:r>
        <w:t>vide stand-alone functionality for display of patient d</w:t>
      </w:r>
      <w:r>
        <w:t>e</w:t>
      </w:r>
      <w:r>
        <w:t>mographic, medical and medication history information. They provide clinical decision support through inclusion of formulary lists, drug reference guides, and automated checks and safety alerts for contraindications and inte</w:t>
      </w:r>
      <w:r>
        <w:t>r</w:t>
      </w:r>
      <w:r>
        <w:t>actions e.g. drug-drug, drug-age and drug-allergy. Moreover, they facilitate the recording of therapeutic i</w:t>
      </w:r>
      <w:r>
        <w:t>n</w:t>
      </w:r>
      <w:r>
        <w:t xml:space="preserve">dications for each drug prescribed. </w:t>
      </w:r>
    </w:p>
    <w:p w:rsidR="00233DB8" w:rsidRDefault="00233DB8" w:rsidP="00233DB8">
      <w:pPr>
        <w:pStyle w:val="Body"/>
      </w:pPr>
      <w:r>
        <w:t>E-prescribing systems hold much promise for improving the quality of the scripting process. The technology can help to reduce prescription errors and preventable a</w:t>
      </w:r>
      <w:r>
        <w:t>d</w:t>
      </w:r>
      <w:r>
        <w:t xml:space="preserve">verse drug events </w:t>
      </w:r>
      <w:r w:rsidR="003705BD">
        <w:t xml:space="preserve">[6, 7, 8, </w:t>
      </w:r>
      <w:proofErr w:type="gramStart"/>
      <w:r w:rsidR="003705BD">
        <w:t>9</w:t>
      </w:r>
      <w:proofErr w:type="gramEnd"/>
      <w:r w:rsidR="003705BD">
        <w:t>]</w:t>
      </w:r>
      <w:r>
        <w:t xml:space="preserve">. </w:t>
      </w:r>
      <w:proofErr w:type="gramStart"/>
      <w:r>
        <w:t>e-Prescriptions</w:t>
      </w:r>
      <w:proofErr w:type="gramEnd"/>
      <w:r>
        <w:t xml:space="preserve"> are easy to read and can be processed quickly with fewer errors </w:t>
      </w:r>
      <w:r w:rsidR="003705BD">
        <w:t>[10]</w:t>
      </w:r>
      <w:r w:rsidR="00935E72">
        <w:t>,</w:t>
      </w:r>
      <w:r>
        <w:t xml:space="preserve"> thus overcoming dispensing </w:t>
      </w:r>
      <w:r w:rsidR="00935E72">
        <w:t>problems</w:t>
      </w:r>
      <w:r>
        <w:t xml:space="preserve"> that result from illegi</w:t>
      </w:r>
      <w:r w:rsidR="00935E72">
        <w:t xml:space="preserve">ble handwriting or </w:t>
      </w:r>
      <w:r>
        <w:t xml:space="preserve">unclear abbreviations </w:t>
      </w:r>
      <w:r w:rsidR="00935E72">
        <w:t>or</w:t>
      </w:r>
      <w:r>
        <w:t xml:space="preserve"> dose designations </w:t>
      </w:r>
      <w:r w:rsidR="003705BD">
        <w:t>[6]</w:t>
      </w:r>
      <w:r w:rsidR="00935E72">
        <w:t xml:space="preserve">. They also </w:t>
      </w:r>
      <w:r>
        <w:t>provide time savings for physicians when pharmacists no longer need to call them back</w:t>
      </w:r>
      <w:r w:rsidR="003705BD">
        <w:t xml:space="preserve"> [2, 3]</w:t>
      </w:r>
      <w:r>
        <w:t xml:space="preserve">. </w:t>
      </w:r>
      <w:r w:rsidR="00935E72">
        <w:t>An added benefit for patients is that p</w:t>
      </w:r>
      <w:r>
        <w:t xml:space="preserve">hysicians can help </w:t>
      </w:r>
      <w:r w:rsidR="00935E72">
        <w:t>them</w:t>
      </w:r>
      <w:r>
        <w:t xml:space="preserve"> with choices on equally effe</w:t>
      </w:r>
      <w:r>
        <w:t>c</w:t>
      </w:r>
      <w:r>
        <w:t xml:space="preserve">tive but cheaper (e.g. generic) drug options </w:t>
      </w:r>
      <w:r w:rsidR="003705BD">
        <w:t>[1]</w:t>
      </w:r>
      <w:r>
        <w:t>.</w:t>
      </w:r>
    </w:p>
    <w:p w:rsidR="00F6129D" w:rsidRDefault="00233DB8" w:rsidP="00233DB8">
      <w:pPr>
        <w:pStyle w:val="Body"/>
      </w:pPr>
      <w:r>
        <w:t>However, the international evidence suggests that e-prescribing has not diffused rapidly into physician pra</w:t>
      </w:r>
      <w:r>
        <w:t>c</w:t>
      </w:r>
      <w:r>
        <w:lastRenderedPageBreak/>
        <w:t xml:space="preserve">tice </w:t>
      </w:r>
      <w:r w:rsidR="00B06BAB">
        <w:t xml:space="preserve">[6, 9, 11, 12, </w:t>
      </w:r>
      <w:proofErr w:type="gramStart"/>
      <w:r w:rsidR="00B06BAB">
        <w:t>13</w:t>
      </w:r>
      <w:proofErr w:type="gramEnd"/>
      <w:r w:rsidR="00B06BAB">
        <w:t>]</w:t>
      </w:r>
      <w:r>
        <w:t xml:space="preserve">.  Some explanations for the low levels of adoption include system cost </w:t>
      </w:r>
      <w:r w:rsidR="00B06BAB">
        <w:t>[6]</w:t>
      </w:r>
      <w:r>
        <w:t>, perceptions of little direct bene</w:t>
      </w:r>
      <w:r w:rsidR="00935E72">
        <w:t>fit</w:t>
      </w:r>
      <w:r>
        <w:t xml:space="preserve"> </w:t>
      </w:r>
      <w:r w:rsidR="00935E72">
        <w:t>t</w:t>
      </w:r>
      <w:r>
        <w:t xml:space="preserve">o the physician </w:t>
      </w:r>
      <w:r w:rsidR="00B06BAB">
        <w:t>[11, 12]</w:t>
      </w:r>
      <w:r>
        <w:t>, concerns o</w:t>
      </w:r>
      <w:r w:rsidR="00B4062F">
        <w:t>ver</w:t>
      </w:r>
      <w:r>
        <w:t xml:space="preserve"> the additional time it takes to use such systems in day to day processes </w:t>
      </w:r>
      <w:r w:rsidR="00B06BAB">
        <w:t>[8]</w:t>
      </w:r>
      <w:r w:rsidR="00935E72">
        <w:t>,</w:t>
      </w:r>
      <w:r>
        <w:t xml:space="preserve"> and that it makes the scripting process more complex than it should be </w:t>
      </w:r>
      <w:r w:rsidR="00B06BAB">
        <w:t>[6]</w:t>
      </w:r>
      <w:r>
        <w:t xml:space="preserve">. </w:t>
      </w:r>
      <w:r w:rsidR="009A05F8">
        <w:t>O</w:t>
      </w:r>
      <w:r>
        <w:t>ne study found e-Prescribing took on average 29 seconds longer than handwriting for new prescriptions in ambulatory settings and presented only limited time-savings for r</w:t>
      </w:r>
      <w:r>
        <w:t>e</w:t>
      </w:r>
      <w:r>
        <w:t xml:space="preserve">newing prescriptions </w:t>
      </w:r>
      <w:r w:rsidR="00B06BAB">
        <w:t>[8]</w:t>
      </w:r>
      <w:r>
        <w:t xml:space="preserve">. Although the increased time spent to e-prescribe may be worthwhile if it improves the safety and quality of the prescription process </w:t>
      </w:r>
      <w:r w:rsidR="004A6085">
        <w:t>[8]</w:t>
      </w:r>
      <w:r>
        <w:t xml:space="preserve">, the added decision support might only prove useful during more complex clinical situations </w:t>
      </w:r>
      <w:r w:rsidR="004A6085">
        <w:t>[1]</w:t>
      </w:r>
      <w:r w:rsidR="00935E72">
        <w:t xml:space="preserve">. For example, </w:t>
      </w:r>
      <w:r>
        <w:t>phys</w:t>
      </w:r>
      <w:r>
        <w:t>i</w:t>
      </w:r>
      <w:r>
        <w:t>cians hav</w:t>
      </w:r>
      <w:r w:rsidR="00935E72">
        <w:t>e</w:t>
      </w:r>
      <w:r>
        <w:t xml:space="preserve"> been found to </w:t>
      </w:r>
      <w:r w:rsidR="00935E72">
        <w:t xml:space="preserve">only </w:t>
      </w:r>
      <w:r>
        <w:t xml:space="preserve">selectively use </w:t>
      </w:r>
      <w:r w:rsidR="00935E72">
        <w:t>e-prescribing when dealing with</w:t>
      </w:r>
      <w:r>
        <w:t xml:space="preserve"> more vulnerable patients and those with multiple medications </w:t>
      </w:r>
      <w:r w:rsidR="004A6085">
        <w:t>[3]</w:t>
      </w:r>
      <w:r>
        <w:t xml:space="preserve">. Many users have also developed parallel systems for collecting and maintaining medication history data and thereby limiting efficiency gains from the technology </w:t>
      </w:r>
      <w:r w:rsidR="004A6085">
        <w:t>[12]</w:t>
      </w:r>
      <w:r>
        <w:t xml:space="preserve">. There is also low reported trust in the technology </w:t>
      </w:r>
      <w:r w:rsidR="00851C92">
        <w:t>with</w:t>
      </w:r>
      <w:r>
        <w:t xml:space="preserve"> physicians often still feel</w:t>
      </w:r>
      <w:r w:rsidR="00851C92">
        <w:t>ing</w:t>
      </w:r>
      <w:r>
        <w:t xml:space="preserve"> </w:t>
      </w:r>
      <w:r w:rsidR="00851C92">
        <w:t>more</w:t>
      </w:r>
      <w:r>
        <w:t xml:space="preserve"> comfortable with their manual proces</w:t>
      </w:r>
      <w:r>
        <w:t>s</w:t>
      </w:r>
      <w:r>
        <w:t xml:space="preserve">es </w:t>
      </w:r>
      <w:r w:rsidR="004A6085">
        <w:t>[6]</w:t>
      </w:r>
      <w:r>
        <w:t xml:space="preserve">. While scripts can be saved and printed, </w:t>
      </w:r>
      <w:r w:rsidR="00851C92">
        <w:t>the tec</w:t>
      </w:r>
      <w:r w:rsidR="00851C92">
        <w:t>h</w:t>
      </w:r>
      <w:r w:rsidR="00B4062F">
        <w:t>nology’</w:t>
      </w:r>
      <w:r w:rsidR="00851C92">
        <w:t xml:space="preserve">s potential is limited by </w:t>
      </w:r>
      <w:r>
        <w:t>regulatory con</w:t>
      </w:r>
      <w:r w:rsidR="00851C92">
        <w:t xml:space="preserve">trols </w:t>
      </w:r>
      <w:r>
        <w:t>such as the requirement for prescriptions to be signed</w:t>
      </w:r>
      <w:r w:rsidR="00851C92">
        <w:t xml:space="preserve"> </w:t>
      </w:r>
      <w:r>
        <w:t xml:space="preserve">and the lack of facilitating network infrastructure to integrate into pharmacies and other physician practices </w:t>
      </w:r>
      <w:r w:rsidR="004A6085">
        <w:t>[3]</w:t>
      </w:r>
      <w:r>
        <w:t>.</w:t>
      </w:r>
    </w:p>
    <w:p w:rsidR="00392AFA" w:rsidRPr="00F87CFA" w:rsidRDefault="00233DB8" w:rsidP="005C6FF5">
      <w:pPr>
        <w:pStyle w:val="Body"/>
      </w:pPr>
      <w:proofErr w:type="gramStart"/>
      <w:r w:rsidRPr="00233DB8">
        <w:t>e-Prescribing</w:t>
      </w:r>
      <w:proofErr w:type="gramEnd"/>
      <w:r w:rsidRPr="00233DB8">
        <w:t xml:space="preserve"> is clearly a high potential </w:t>
      </w:r>
      <w:proofErr w:type="spellStart"/>
      <w:r w:rsidRPr="00233DB8">
        <w:t>eHealth</w:t>
      </w:r>
      <w:proofErr w:type="spellEnd"/>
      <w:r w:rsidRPr="00233DB8">
        <w:t xml:space="preserve"> techno</w:t>
      </w:r>
      <w:r w:rsidRPr="00233DB8">
        <w:t>l</w:t>
      </w:r>
      <w:r w:rsidRPr="00233DB8">
        <w:t xml:space="preserve">ogy but it is evident that there are a number of issues that may limit its widespread adoption and use. In an effort to better understand the technology’s potential, </w:t>
      </w:r>
      <w:r>
        <w:t>t</w:t>
      </w:r>
      <w:r w:rsidR="00F6129D" w:rsidRPr="00F6129D">
        <w:t xml:space="preserve">his paper reports on a study </w:t>
      </w:r>
      <w:r w:rsidR="00F6129D">
        <w:t>of South African</w:t>
      </w:r>
      <w:r w:rsidR="00F6129D" w:rsidRPr="00F6129D">
        <w:t xml:space="preserve"> phys</w:t>
      </w:r>
      <w:r w:rsidR="00F6129D" w:rsidRPr="00F6129D">
        <w:t>i</w:t>
      </w:r>
      <w:r w:rsidR="00F6129D" w:rsidRPr="00F6129D">
        <w:t>cian</w:t>
      </w:r>
      <w:r w:rsidR="00F6129D">
        <w:t>s’</w:t>
      </w:r>
      <w:r w:rsidR="00F6129D" w:rsidRPr="00F6129D">
        <w:t xml:space="preserve"> </w:t>
      </w:r>
      <w:r w:rsidRPr="00233DB8">
        <w:t>perceptions of e-prescribing and their readiness and willingness to accept the technology in</w:t>
      </w:r>
      <w:r w:rsidR="00253860">
        <w:t>to</w:t>
      </w:r>
      <w:r w:rsidRPr="00233DB8">
        <w:t xml:space="preserve"> their pra</w:t>
      </w:r>
      <w:r w:rsidRPr="00233DB8">
        <w:t>c</w:t>
      </w:r>
      <w:r w:rsidRPr="00233DB8">
        <w:t>tices</w:t>
      </w:r>
      <w:r w:rsidR="00F6129D" w:rsidRPr="00F6129D">
        <w:t xml:space="preserve">.  </w:t>
      </w:r>
      <w:r w:rsidR="00F6129D">
        <w:t>The</w:t>
      </w:r>
      <w:r w:rsidR="00F6129D" w:rsidRPr="00F6129D">
        <w:t xml:space="preserve"> Unified Theory of Acceptance and Use of Technology (UTAUT) </w:t>
      </w:r>
      <w:proofErr w:type="gramStart"/>
      <w:r w:rsidR="00F6129D">
        <w:t>was</w:t>
      </w:r>
      <w:proofErr w:type="gramEnd"/>
      <w:r w:rsidR="00F6129D">
        <w:t xml:space="preserve"> used </w:t>
      </w:r>
      <w:r w:rsidR="00F6129D" w:rsidRPr="00F6129D">
        <w:t>to guide the investig</w:t>
      </w:r>
      <w:r w:rsidR="00F6129D" w:rsidRPr="00F6129D">
        <w:t>a</w:t>
      </w:r>
      <w:r w:rsidR="00F6129D" w:rsidRPr="00F6129D">
        <w:t xml:space="preserve">tion </w:t>
      </w:r>
      <w:r w:rsidR="004A6085">
        <w:t>[14]</w:t>
      </w:r>
      <w:r>
        <w:t xml:space="preserve">. </w:t>
      </w:r>
      <w:r w:rsidRPr="00233DB8">
        <w:t>Results will highlight the expectations that ph</w:t>
      </w:r>
      <w:r w:rsidRPr="00233DB8">
        <w:t>y</w:t>
      </w:r>
      <w:r w:rsidRPr="00233DB8">
        <w:t xml:space="preserve">sicians have of the technology together with their areas of concern and will thus provide guidance to software vendors and </w:t>
      </w:r>
      <w:proofErr w:type="spellStart"/>
      <w:r w:rsidR="00253860">
        <w:t>eHealth</w:t>
      </w:r>
      <w:proofErr w:type="spellEnd"/>
      <w:r w:rsidR="00253860">
        <w:t xml:space="preserve"> </w:t>
      </w:r>
      <w:r w:rsidRPr="00233DB8">
        <w:t>advocates.</w:t>
      </w:r>
      <w:r w:rsidR="00B42154" w:rsidRPr="00B42154">
        <w:t xml:space="preserve"> </w:t>
      </w:r>
      <w:r w:rsidR="00B42154">
        <w:t>Our study also contri</w:t>
      </w:r>
      <w:r w:rsidR="00B42154">
        <w:t>b</w:t>
      </w:r>
      <w:r w:rsidR="00B42154">
        <w:t>utes to the growing literature base on South African ph</w:t>
      </w:r>
      <w:r w:rsidR="00B42154">
        <w:t>y</w:t>
      </w:r>
      <w:r w:rsidR="00B42154">
        <w:t>sicians’ acceptance of information technologies e.g. [</w:t>
      </w:r>
      <w:r w:rsidR="004A6085">
        <w:t>15</w:t>
      </w:r>
      <w:r w:rsidR="00B42154">
        <w:t xml:space="preserve">, </w:t>
      </w:r>
      <w:r w:rsidR="004A6085">
        <w:t>16</w:t>
      </w:r>
      <w:r w:rsidR="00B42154">
        <w:t>].</w:t>
      </w:r>
    </w:p>
    <w:p w:rsidR="00F6129D" w:rsidRPr="00F87CFA" w:rsidRDefault="00F7045E" w:rsidP="00F6129D">
      <w:pPr>
        <w:pStyle w:val="Heading1"/>
      </w:pPr>
      <w:r>
        <w:t>The Unified Theory of Acceptance and Use of Technology</w:t>
      </w:r>
    </w:p>
    <w:p w:rsidR="00F60D84" w:rsidRPr="009D150C" w:rsidRDefault="003D0DA4" w:rsidP="009D150C">
      <w:pPr>
        <w:pStyle w:val="Heading1"/>
        <w:spacing w:before="60" w:after="60"/>
        <w:rPr>
          <w:b w:val="0"/>
          <w:sz w:val="20"/>
        </w:rPr>
      </w:pPr>
      <w:r w:rsidRPr="009D150C">
        <w:rPr>
          <w:b w:val="0"/>
          <w:kern w:val="0"/>
          <w:sz w:val="20"/>
        </w:rPr>
        <w:t>The theoretical underpinning for our research study is the Unified Theory of Acceptance and Use of Technol</w:t>
      </w:r>
      <w:r w:rsidRPr="009D150C">
        <w:rPr>
          <w:b w:val="0"/>
          <w:kern w:val="0"/>
          <w:sz w:val="20"/>
        </w:rPr>
        <w:t>o</w:t>
      </w:r>
      <w:r w:rsidRPr="009D150C">
        <w:rPr>
          <w:b w:val="0"/>
          <w:kern w:val="0"/>
          <w:sz w:val="20"/>
        </w:rPr>
        <w:t xml:space="preserve">gy (UTAUT) </w:t>
      </w:r>
      <w:r w:rsidR="00914125">
        <w:rPr>
          <w:b w:val="0"/>
          <w:kern w:val="0"/>
          <w:sz w:val="20"/>
        </w:rPr>
        <w:t xml:space="preserve">[14] </w:t>
      </w:r>
      <w:r w:rsidRPr="009D150C">
        <w:rPr>
          <w:b w:val="0"/>
          <w:kern w:val="0"/>
          <w:sz w:val="20"/>
        </w:rPr>
        <w:t xml:space="preserve">and its recent extensions </w:t>
      </w:r>
      <w:r w:rsidR="00914125">
        <w:rPr>
          <w:b w:val="0"/>
          <w:kern w:val="0"/>
          <w:sz w:val="20"/>
        </w:rPr>
        <w:t>[17]</w:t>
      </w:r>
      <w:r w:rsidRPr="009D150C">
        <w:rPr>
          <w:b w:val="0"/>
          <w:kern w:val="0"/>
          <w:sz w:val="20"/>
        </w:rPr>
        <w:t>.</w:t>
      </w:r>
      <w:r w:rsidR="009D150C" w:rsidRPr="009D150C">
        <w:rPr>
          <w:b w:val="0"/>
          <w:kern w:val="0"/>
          <w:sz w:val="20"/>
        </w:rPr>
        <w:t xml:space="preserve"> </w:t>
      </w:r>
      <w:r w:rsidR="009D150C" w:rsidRPr="009D150C">
        <w:rPr>
          <w:b w:val="0"/>
          <w:sz w:val="20"/>
        </w:rPr>
        <w:t>The UTAUT model has been supported by a variety of health informatics studies. For example, Chang, Hwang, Hung, and Li [</w:t>
      </w:r>
      <w:r w:rsidR="00684E95">
        <w:rPr>
          <w:b w:val="0"/>
          <w:sz w:val="20"/>
        </w:rPr>
        <w:t>18</w:t>
      </w:r>
      <w:r w:rsidR="009D150C" w:rsidRPr="009D150C">
        <w:rPr>
          <w:b w:val="0"/>
          <w:sz w:val="20"/>
        </w:rPr>
        <w:t>] used UTAUT to examine physicians’ a</w:t>
      </w:r>
      <w:r w:rsidR="009D150C" w:rsidRPr="009D150C">
        <w:rPr>
          <w:b w:val="0"/>
          <w:sz w:val="20"/>
        </w:rPr>
        <w:t>c</w:t>
      </w:r>
      <w:r w:rsidR="009D150C" w:rsidRPr="009D150C">
        <w:rPr>
          <w:b w:val="0"/>
          <w:sz w:val="20"/>
        </w:rPr>
        <w:t xml:space="preserve">ceptance of a pharmacokinetics-based clinical decision </w:t>
      </w:r>
      <w:r w:rsidR="009D150C" w:rsidRPr="009D150C">
        <w:rPr>
          <w:b w:val="0"/>
          <w:sz w:val="20"/>
        </w:rPr>
        <w:lastRenderedPageBreak/>
        <w:t xml:space="preserve">support system in Taiwan. </w:t>
      </w:r>
      <w:proofErr w:type="spellStart"/>
      <w:r w:rsidR="009D150C" w:rsidRPr="009D150C">
        <w:rPr>
          <w:b w:val="0"/>
          <w:sz w:val="20"/>
        </w:rPr>
        <w:t>Kijsanayotin</w:t>
      </w:r>
      <w:proofErr w:type="spellEnd"/>
      <w:r w:rsidR="009D150C" w:rsidRPr="009D150C">
        <w:rPr>
          <w:b w:val="0"/>
          <w:sz w:val="20"/>
        </w:rPr>
        <w:t xml:space="preserve">, </w:t>
      </w:r>
      <w:proofErr w:type="spellStart"/>
      <w:r w:rsidR="009D150C" w:rsidRPr="009D150C">
        <w:rPr>
          <w:b w:val="0"/>
          <w:sz w:val="20"/>
        </w:rPr>
        <w:t>Pannarunothai</w:t>
      </w:r>
      <w:proofErr w:type="spellEnd"/>
      <w:r w:rsidR="009D150C" w:rsidRPr="009D150C">
        <w:rPr>
          <w:b w:val="0"/>
          <w:sz w:val="20"/>
        </w:rPr>
        <w:t xml:space="preserve">, and </w:t>
      </w:r>
      <w:proofErr w:type="spellStart"/>
      <w:r w:rsidR="009D150C" w:rsidRPr="009D150C">
        <w:rPr>
          <w:b w:val="0"/>
          <w:sz w:val="20"/>
        </w:rPr>
        <w:t>Speedie</w:t>
      </w:r>
      <w:proofErr w:type="spellEnd"/>
      <w:r w:rsidR="009D150C" w:rsidRPr="009D150C">
        <w:rPr>
          <w:b w:val="0"/>
          <w:sz w:val="20"/>
        </w:rPr>
        <w:t xml:space="preserve"> [</w:t>
      </w:r>
      <w:r w:rsidR="00684E95">
        <w:rPr>
          <w:b w:val="0"/>
          <w:sz w:val="20"/>
        </w:rPr>
        <w:t>19</w:t>
      </w:r>
      <w:r w:rsidR="009D150C" w:rsidRPr="009D150C">
        <w:rPr>
          <w:b w:val="0"/>
          <w:sz w:val="20"/>
        </w:rPr>
        <w:t>] modified UTAUT to study the determ</w:t>
      </w:r>
      <w:r w:rsidR="009D150C" w:rsidRPr="009D150C">
        <w:rPr>
          <w:b w:val="0"/>
          <w:sz w:val="20"/>
        </w:rPr>
        <w:t>i</w:t>
      </w:r>
      <w:r w:rsidR="009D150C" w:rsidRPr="009D150C">
        <w:rPr>
          <w:b w:val="0"/>
          <w:sz w:val="20"/>
        </w:rPr>
        <w:t xml:space="preserve">nants of health IT adoption in community health </w:t>
      </w:r>
      <w:proofErr w:type="spellStart"/>
      <w:r w:rsidR="009D150C" w:rsidRPr="009D150C">
        <w:rPr>
          <w:b w:val="0"/>
          <w:sz w:val="20"/>
        </w:rPr>
        <w:t>centres</w:t>
      </w:r>
      <w:proofErr w:type="spellEnd"/>
      <w:r w:rsidR="009D150C" w:rsidRPr="009D150C">
        <w:rPr>
          <w:b w:val="0"/>
          <w:sz w:val="20"/>
        </w:rPr>
        <w:t xml:space="preserve"> in Thailand. </w:t>
      </w:r>
      <w:proofErr w:type="spellStart"/>
      <w:r w:rsidR="009D150C" w:rsidRPr="009D150C">
        <w:rPr>
          <w:b w:val="0"/>
          <w:sz w:val="20"/>
        </w:rPr>
        <w:t>Cilliers</w:t>
      </w:r>
      <w:proofErr w:type="spellEnd"/>
      <w:r w:rsidR="009D150C" w:rsidRPr="009D150C">
        <w:rPr>
          <w:b w:val="0"/>
          <w:sz w:val="20"/>
        </w:rPr>
        <w:t xml:space="preserve"> and </w:t>
      </w:r>
      <w:proofErr w:type="spellStart"/>
      <w:r w:rsidR="009D150C" w:rsidRPr="009D150C">
        <w:rPr>
          <w:b w:val="0"/>
          <w:sz w:val="20"/>
        </w:rPr>
        <w:t>Flowerday</w:t>
      </w:r>
      <w:proofErr w:type="spellEnd"/>
      <w:r w:rsidR="009D150C" w:rsidRPr="009D150C">
        <w:rPr>
          <w:b w:val="0"/>
          <w:sz w:val="20"/>
        </w:rPr>
        <w:t xml:space="preserve"> [</w:t>
      </w:r>
      <w:r w:rsidR="00684E95">
        <w:rPr>
          <w:b w:val="0"/>
          <w:sz w:val="20"/>
        </w:rPr>
        <w:t>20</w:t>
      </w:r>
      <w:r w:rsidR="009D150C" w:rsidRPr="009D150C">
        <w:rPr>
          <w:b w:val="0"/>
          <w:sz w:val="20"/>
        </w:rPr>
        <w:t xml:space="preserve">] used UTAUT to investigate user acceptance of telemedicine in South </w:t>
      </w:r>
      <w:r w:rsidR="009D150C" w:rsidRPr="00993E57">
        <w:rPr>
          <w:b w:val="0"/>
          <w:sz w:val="20"/>
        </w:rPr>
        <w:t>Africa’s public health care system.</w:t>
      </w:r>
      <w:r w:rsidR="0067588E" w:rsidRPr="00993E57">
        <w:rPr>
          <w:b w:val="0"/>
          <w:sz w:val="20"/>
        </w:rPr>
        <w:t xml:space="preserve"> In the context of e-prescribing, selected UTAUT factors have been exa</w:t>
      </w:r>
      <w:r w:rsidR="0067588E" w:rsidRPr="00993E57">
        <w:rPr>
          <w:b w:val="0"/>
          <w:sz w:val="20"/>
        </w:rPr>
        <w:t>m</w:t>
      </w:r>
      <w:r w:rsidR="0067588E" w:rsidRPr="00993E57">
        <w:rPr>
          <w:b w:val="0"/>
          <w:sz w:val="20"/>
        </w:rPr>
        <w:t xml:space="preserve">ined </w:t>
      </w:r>
      <w:r w:rsidR="00A7024F" w:rsidRPr="00993E57">
        <w:rPr>
          <w:b w:val="0"/>
          <w:sz w:val="20"/>
        </w:rPr>
        <w:t xml:space="preserve">for </w:t>
      </w:r>
      <w:r w:rsidR="00BE584A" w:rsidRPr="00993E57">
        <w:rPr>
          <w:b w:val="0"/>
          <w:sz w:val="20"/>
        </w:rPr>
        <w:t xml:space="preserve">their </w:t>
      </w:r>
      <w:r w:rsidR="00A7024F" w:rsidRPr="00993E57">
        <w:rPr>
          <w:b w:val="0"/>
          <w:sz w:val="20"/>
        </w:rPr>
        <w:t xml:space="preserve">effects on </w:t>
      </w:r>
      <w:r w:rsidR="00BE584A" w:rsidRPr="00993E57">
        <w:rPr>
          <w:b w:val="0"/>
          <w:sz w:val="20"/>
        </w:rPr>
        <w:t>the technology’s use by phys</w:t>
      </w:r>
      <w:r w:rsidR="00BE584A" w:rsidRPr="00993E57">
        <w:rPr>
          <w:b w:val="0"/>
          <w:sz w:val="20"/>
        </w:rPr>
        <w:t>i</w:t>
      </w:r>
      <w:r w:rsidR="00BE584A" w:rsidRPr="00993E57">
        <w:rPr>
          <w:b w:val="0"/>
          <w:sz w:val="20"/>
        </w:rPr>
        <w:t>cians in New Jersey</w:t>
      </w:r>
      <w:r w:rsidR="00A7024F" w:rsidRPr="00993E57">
        <w:rPr>
          <w:b w:val="0"/>
          <w:sz w:val="20"/>
        </w:rPr>
        <w:t xml:space="preserve"> </w:t>
      </w:r>
      <w:r w:rsidR="0067588E" w:rsidRPr="00993E57">
        <w:rPr>
          <w:b w:val="0"/>
          <w:sz w:val="20"/>
        </w:rPr>
        <w:t>[</w:t>
      </w:r>
      <w:r w:rsidR="00A7024F" w:rsidRPr="00993E57">
        <w:rPr>
          <w:b w:val="0"/>
          <w:sz w:val="20"/>
        </w:rPr>
        <w:t>21</w:t>
      </w:r>
      <w:r w:rsidR="0067588E" w:rsidRPr="00993E57">
        <w:rPr>
          <w:b w:val="0"/>
          <w:sz w:val="20"/>
        </w:rPr>
        <w:t>].</w:t>
      </w:r>
    </w:p>
    <w:p w:rsidR="003D0DA4" w:rsidRDefault="009D150C" w:rsidP="003D0DA4">
      <w:pPr>
        <w:pStyle w:val="Heading1"/>
        <w:spacing w:before="60" w:after="60"/>
        <w:rPr>
          <w:b w:val="0"/>
          <w:kern w:val="0"/>
          <w:sz w:val="20"/>
        </w:rPr>
      </w:pPr>
      <w:r>
        <w:rPr>
          <w:b w:val="0"/>
          <w:kern w:val="0"/>
          <w:sz w:val="20"/>
        </w:rPr>
        <w:t>Consistent with UTAUT, o</w:t>
      </w:r>
      <w:r w:rsidR="003D0DA4" w:rsidRPr="003D0DA4">
        <w:rPr>
          <w:b w:val="0"/>
          <w:kern w:val="0"/>
          <w:sz w:val="20"/>
        </w:rPr>
        <w:t xml:space="preserve">ur study’s criterion variable is physician acceptance of e-Prescribing systems, which is defined as the physician’s </w:t>
      </w:r>
      <w:proofErr w:type="spellStart"/>
      <w:r w:rsidR="003D0DA4" w:rsidRPr="003D0DA4">
        <w:rPr>
          <w:b w:val="0"/>
          <w:kern w:val="0"/>
          <w:sz w:val="20"/>
        </w:rPr>
        <w:t>behavioural</w:t>
      </w:r>
      <w:proofErr w:type="spellEnd"/>
      <w:r w:rsidR="003D0DA4" w:rsidRPr="003D0DA4">
        <w:rPr>
          <w:b w:val="0"/>
          <w:kern w:val="0"/>
          <w:sz w:val="20"/>
        </w:rPr>
        <w:t xml:space="preserve"> intention to make use of e-Prescribing technologies given the opportunity. The research model guiding our investigation is illustra</w:t>
      </w:r>
      <w:r w:rsidR="003D0DA4" w:rsidRPr="003D0DA4">
        <w:rPr>
          <w:b w:val="0"/>
          <w:kern w:val="0"/>
          <w:sz w:val="20"/>
        </w:rPr>
        <w:t>t</w:t>
      </w:r>
      <w:r w:rsidR="003D0DA4" w:rsidRPr="003D0DA4">
        <w:rPr>
          <w:b w:val="0"/>
          <w:kern w:val="0"/>
          <w:sz w:val="20"/>
        </w:rPr>
        <w:t>ed in Figure 1.</w:t>
      </w:r>
    </w:p>
    <w:p w:rsidR="003D0DA4" w:rsidRDefault="003D0DA4" w:rsidP="003D0DA4"/>
    <w:p w:rsidR="003D0DA4" w:rsidRDefault="003705BD" w:rsidP="003D0DA4">
      <w:r>
        <w:rPr>
          <w:noProof/>
          <w:lang w:val="en-ZA" w:eastAsia="en-ZA"/>
        </w:rPr>
        <w:drawing>
          <wp:inline distT="0" distB="0" distL="0" distR="0">
            <wp:extent cx="3194685" cy="29305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DA4" w:rsidRPr="00F87CFA" w:rsidRDefault="003D0DA4" w:rsidP="003D0DA4">
      <w:pPr>
        <w:pStyle w:val="StyleFigureTitle"/>
      </w:pPr>
      <w:r w:rsidRPr="00F87CFA">
        <w:t xml:space="preserve">Figure </w:t>
      </w:r>
      <w:r>
        <w:t>1</w:t>
      </w:r>
      <w:r w:rsidRPr="00F87CFA">
        <w:t xml:space="preserve"> </w:t>
      </w:r>
      <w:r>
        <w:t>–</w:t>
      </w:r>
      <w:r w:rsidRPr="00F87CFA">
        <w:t xml:space="preserve"> </w:t>
      </w:r>
      <w:r>
        <w:t>Research Model</w:t>
      </w:r>
    </w:p>
    <w:p w:rsidR="00F90D24" w:rsidRDefault="00F90D24" w:rsidP="009D150C">
      <w:pPr>
        <w:spacing w:before="60" w:after="60"/>
      </w:pPr>
      <w:r>
        <w:t>UTAUT identifies three direct determinants of a techno</w:t>
      </w:r>
      <w:r>
        <w:t>l</w:t>
      </w:r>
      <w:r>
        <w:t xml:space="preserve">ogy’s acceptance. These are Performance Expectancy, Effort Expectancy and Social Influence. </w:t>
      </w:r>
    </w:p>
    <w:p w:rsidR="00F90D24" w:rsidRPr="00F064F1" w:rsidRDefault="00F90D24" w:rsidP="009D150C">
      <w:pPr>
        <w:spacing w:before="60" w:after="60"/>
      </w:pPr>
      <w:r w:rsidRPr="00CB559D">
        <w:rPr>
          <w:i/>
        </w:rPr>
        <w:t>Performance expectancy</w:t>
      </w:r>
      <w:r>
        <w:t xml:space="preserve"> is the perceived gains a user will achieve from using a system in their job context through direct improvements to work productivity and/or quality </w:t>
      </w:r>
      <w:r w:rsidR="00480B8B">
        <w:t>[14]</w:t>
      </w:r>
      <w:r>
        <w:t xml:space="preserve">. </w:t>
      </w:r>
      <w:proofErr w:type="gramStart"/>
      <w:r>
        <w:t>e-Prescribing</w:t>
      </w:r>
      <w:proofErr w:type="gramEnd"/>
      <w:r>
        <w:t xml:space="preserve"> has the potential to improve the quality of the scripting process </w:t>
      </w:r>
      <w:r w:rsidR="00480B8B">
        <w:t>[2, 3, 7]</w:t>
      </w:r>
      <w:r>
        <w:t xml:space="preserve">. However, some studies raised concerns that using an online scripting system may create few time savings for </w:t>
      </w:r>
      <w:r w:rsidRPr="00F064F1">
        <w:t>phys</w:t>
      </w:r>
      <w:r w:rsidRPr="00F064F1">
        <w:t>i</w:t>
      </w:r>
      <w:r w:rsidRPr="00F064F1">
        <w:t>cians and can take significantly longer than simply wri</w:t>
      </w:r>
      <w:r w:rsidRPr="00F064F1">
        <w:t>t</w:t>
      </w:r>
      <w:r w:rsidRPr="00F064F1">
        <w:t xml:space="preserve">ing a script </w:t>
      </w:r>
      <w:r w:rsidR="00480B8B" w:rsidRPr="00F064F1">
        <w:t>[1, 8]</w:t>
      </w:r>
      <w:r w:rsidRPr="00F064F1">
        <w:t>.</w:t>
      </w:r>
    </w:p>
    <w:p w:rsidR="00F90D24" w:rsidRPr="00F064F1" w:rsidRDefault="00F90D24" w:rsidP="009D150C">
      <w:pPr>
        <w:spacing w:before="60" w:after="60"/>
      </w:pPr>
      <w:r w:rsidRPr="00F064F1">
        <w:rPr>
          <w:i/>
        </w:rPr>
        <w:t>Effort Expectancy</w:t>
      </w:r>
      <w:r w:rsidRPr="00F064F1">
        <w:t xml:space="preserve"> denotes the degree to which the use of a system is perceived to be free from physical or me</w:t>
      </w:r>
      <w:r w:rsidRPr="00F064F1">
        <w:t>n</w:t>
      </w:r>
      <w:r w:rsidRPr="00F064F1">
        <w:t xml:space="preserve">tal effort </w:t>
      </w:r>
      <w:r w:rsidR="00205916" w:rsidRPr="00F064F1">
        <w:t>[22</w:t>
      </w:r>
      <w:r w:rsidR="00480B8B" w:rsidRPr="00F064F1">
        <w:t>]</w:t>
      </w:r>
      <w:r w:rsidRPr="00F064F1">
        <w:t>.  Perceptions of increased effort would di</w:t>
      </w:r>
      <w:r w:rsidRPr="00F064F1">
        <w:t>s</w:t>
      </w:r>
      <w:r w:rsidRPr="00F064F1">
        <w:t>courage physicians from using an e-prescribing system. Frustrating features of the technology might include cli</w:t>
      </w:r>
      <w:r w:rsidRPr="00F064F1">
        <w:t>n</w:t>
      </w:r>
      <w:r w:rsidRPr="00F064F1">
        <w:t>ically irrelevant alert message</w:t>
      </w:r>
      <w:r w:rsidR="001D3AA8" w:rsidRPr="00F064F1">
        <w:t>s</w:t>
      </w:r>
      <w:r w:rsidRPr="00F064F1">
        <w:t xml:space="preserve"> that need to be di</w:t>
      </w:r>
      <w:r w:rsidRPr="00F064F1">
        <w:t>s</w:t>
      </w:r>
      <w:r w:rsidRPr="00F064F1">
        <w:t xml:space="preserve">missed </w:t>
      </w:r>
      <w:r w:rsidR="00480B8B" w:rsidRPr="00F064F1">
        <w:t>[1]</w:t>
      </w:r>
      <w:r w:rsidR="00CD476F" w:rsidRPr="00F064F1">
        <w:t>,</w:t>
      </w:r>
      <w:r w:rsidRPr="00F064F1">
        <w:t xml:space="preserve"> and unnecessary complexity added to the scripting process </w:t>
      </w:r>
      <w:r w:rsidR="00480B8B" w:rsidRPr="00F064F1">
        <w:t>[6]</w:t>
      </w:r>
      <w:r w:rsidRPr="00F064F1">
        <w:t>.</w:t>
      </w:r>
    </w:p>
    <w:p w:rsidR="00F90D24" w:rsidRPr="00F064F1" w:rsidRDefault="00F90D24" w:rsidP="009D150C">
      <w:pPr>
        <w:spacing w:before="60" w:after="60"/>
      </w:pPr>
      <w:r w:rsidRPr="00F064F1">
        <w:rPr>
          <w:i/>
        </w:rPr>
        <w:t>Social Influence</w:t>
      </w:r>
      <w:r w:rsidRPr="00F064F1">
        <w:t xml:space="preserve"> is an individual’s perception that i</w:t>
      </w:r>
      <w:r w:rsidRPr="00F064F1">
        <w:t>m</w:t>
      </w:r>
      <w:r w:rsidRPr="00F064F1">
        <w:t xml:space="preserve">portant others believe he or she should be using the technology in question </w:t>
      </w:r>
      <w:r w:rsidR="00480B8B" w:rsidRPr="00F064F1">
        <w:t xml:space="preserve">[14, </w:t>
      </w:r>
      <w:r w:rsidR="00205916" w:rsidRPr="00F064F1">
        <w:t>23</w:t>
      </w:r>
      <w:r w:rsidR="00480B8B" w:rsidRPr="00F064F1">
        <w:t>]</w:t>
      </w:r>
      <w:r w:rsidRPr="00F064F1">
        <w:t>. Physicians are likely to have varying perceptions as to whether important ot</w:t>
      </w:r>
      <w:r w:rsidRPr="00F064F1">
        <w:t>h</w:t>
      </w:r>
      <w:r w:rsidRPr="00F064F1">
        <w:t>ers, such as professional bodies or their patients and colleagues, would support and approve of their use of e-prescribing.</w:t>
      </w:r>
    </w:p>
    <w:p w:rsidR="00CB559D" w:rsidRDefault="00CB559D" w:rsidP="009D150C">
      <w:pPr>
        <w:spacing w:before="60" w:after="60"/>
      </w:pPr>
      <w:r>
        <w:lastRenderedPageBreak/>
        <w:t xml:space="preserve">The updated UTAUT model </w:t>
      </w:r>
      <w:r w:rsidR="00480B8B">
        <w:t>[17]</w:t>
      </w:r>
      <w:r>
        <w:t xml:space="preserve"> has included two add</w:t>
      </w:r>
      <w:r>
        <w:t>i</w:t>
      </w:r>
      <w:r>
        <w:t xml:space="preserve">tional direct determinants of acceptance. </w:t>
      </w:r>
    </w:p>
    <w:p w:rsidR="00F90D24" w:rsidRDefault="00F90D24" w:rsidP="009D150C">
      <w:pPr>
        <w:spacing w:before="60" w:after="60"/>
      </w:pPr>
      <w:r w:rsidRPr="00CB559D">
        <w:rPr>
          <w:i/>
        </w:rPr>
        <w:t>Facilitating conditions</w:t>
      </w:r>
      <w:r>
        <w:t xml:space="preserve"> </w:t>
      </w:r>
      <w:r w:rsidR="00CD476F">
        <w:t xml:space="preserve">are the resources needed by an individual to make use of a system </w:t>
      </w:r>
      <w:r w:rsidR="00480B8B">
        <w:t>[14]</w:t>
      </w:r>
      <w:r w:rsidR="00CD476F">
        <w:t xml:space="preserve">. An individual’s perception of resource availability </w:t>
      </w:r>
      <w:r>
        <w:t>act</w:t>
      </w:r>
      <w:r w:rsidR="00CD476F">
        <w:t>s</w:t>
      </w:r>
      <w:r>
        <w:t xml:space="preserve"> as </w:t>
      </w:r>
      <w:r w:rsidR="00CB559D">
        <w:t xml:space="preserve">a </w:t>
      </w:r>
      <w:proofErr w:type="spellStart"/>
      <w:r>
        <w:t>behavioural</w:t>
      </w:r>
      <w:proofErr w:type="spellEnd"/>
      <w:r>
        <w:t xml:space="preserve"> control influencing their decision on whether or not to make use of the technology</w:t>
      </w:r>
      <w:r w:rsidR="00CD476F">
        <w:t xml:space="preserve"> [</w:t>
      </w:r>
      <w:r w:rsidR="00480B8B">
        <w:t>17</w:t>
      </w:r>
      <w:r w:rsidR="00CD476F">
        <w:t>]</w:t>
      </w:r>
      <w:r>
        <w:t xml:space="preserve">. Inadequate technical support and limited onsite technology resources have been identified amongst the barriers to e-prescribing </w:t>
      </w:r>
      <w:r w:rsidR="00480B8B">
        <w:t>[12]</w:t>
      </w:r>
      <w:r>
        <w:t>, while financial resources to run e-prescribing sy</w:t>
      </w:r>
      <w:r>
        <w:t>s</w:t>
      </w:r>
      <w:r>
        <w:t xml:space="preserve">tems have also been considered important </w:t>
      </w:r>
      <w:r w:rsidR="00480B8B">
        <w:t>[2, 6]</w:t>
      </w:r>
      <w:r>
        <w:t>.</w:t>
      </w:r>
    </w:p>
    <w:p w:rsidR="00F90D24" w:rsidRDefault="00F90D24" w:rsidP="009D150C">
      <w:pPr>
        <w:spacing w:before="60" w:after="60"/>
      </w:pPr>
      <w:r w:rsidRPr="00CB559D">
        <w:rPr>
          <w:i/>
        </w:rPr>
        <w:t>Price Value</w:t>
      </w:r>
      <w:r>
        <w:t xml:space="preserve"> </w:t>
      </w:r>
      <w:r w:rsidR="00CB559D">
        <w:t xml:space="preserve">perception is </w:t>
      </w:r>
      <w:r>
        <w:t xml:space="preserve">an individual’s </w:t>
      </w:r>
      <w:r w:rsidR="00CB559D">
        <w:t>evaluation</w:t>
      </w:r>
      <w:r>
        <w:t xml:space="preserve"> of the net gain </w:t>
      </w:r>
      <w:r w:rsidR="00CB559D">
        <w:t xml:space="preserve">that could be derived </w:t>
      </w:r>
      <w:r>
        <w:t>from system use. If physician</w:t>
      </w:r>
      <w:r w:rsidR="00B4062F">
        <w:t>s</w:t>
      </w:r>
      <w:r>
        <w:t xml:space="preserve"> ha</w:t>
      </w:r>
      <w:r w:rsidR="00B4062F">
        <w:t>ve</w:t>
      </w:r>
      <w:r>
        <w:t xml:space="preserve"> to bear the cost of implementing and using the technology but experience few direct benefits</w:t>
      </w:r>
      <w:r w:rsidR="00B4062F">
        <w:t xml:space="preserve"> then</w:t>
      </w:r>
      <w:r>
        <w:t xml:space="preserve"> they will have little incentive to adopt </w:t>
      </w:r>
      <w:r w:rsidR="00480B8B">
        <w:t>[11, 12]</w:t>
      </w:r>
      <w:r>
        <w:t>.</w:t>
      </w:r>
    </w:p>
    <w:p w:rsidR="003D0DA4" w:rsidRDefault="00232A55" w:rsidP="009D150C">
      <w:pPr>
        <w:spacing w:before="60" w:after="60"/>
      </w:pPr>
      <w:r w:rsidRPr="00F064F1">
        <w:t xml:space="preserve">Finally, we considered the importance of trust beliefs. </w:t>
      </w:r>
      <w:r w:rsidR="00F90D24" w:rsidRPr="00F064F1">
        <w:rPr>
          <w:i/>
        </w:rPr>
        <w:t>Trust</w:t>
      </w:r>
      <w:r w:rsidR="00F90D24" w:rsidRPr="00F064F1">
        <w:t xml:space="preserve"> in a technology is defined as a user’s belief that the technology has attributes beneficial to the user, will behave in a dependable manner and in the interests of the user, and will perform according to the user’s expe</w:t>
      </w:r>
      <w:r w:rsidR="00F90D24" w:rsidRPr="00F064F1">
        <w:t>c</w:t>
      </w:r>
      <w:r w:rsidR="00F90D24" w:rsidRPr="00F064F1">
        <w:t>ta</w:t>
      </w:r>
      <w:r w:rsidRPr="00F064F1">
        <w:t xml:space="preserve">tion </w:t>
      </w:r>
      <w:r w:rsidR="00CB2508" w:rsidRPr="00F064F1">
        <w:t>[</w:t>
      </w:r>
      <w:r w:rsidR="00205916" w:rsidRPr="00F064F1">
        <w:t>24</w:t>
      </w:r>
      <w:r w:rsidR="00CB2508" w:rsidRPr="00F064F1">
        <w:t>]</w:t>
      </w:r>
      <w:r w:rsidRPr="00F064F1">
        <w:t xml:space="preserve">. </w:t>
      </w:r>
      <w:r w:rsidR="00F90D24" w:rsidRPr="00F064F1">
        <w:t>Trust is relevant in the e-prescribing context due to the potential for risk and liability if an e-prescribing system should prove to be unreliable or i</w:t>
      </w:r>
      <w:r w:rsidR="00F90D24" w:rsidRPr="00F064F1">
        <w:t>n</w:t>
      </w:r>
      <w:r w:rsidR="00F90D24" w:rsidRPr="00F064F1">
        <w:t xml:space="preserve">accurate, e.g. displaying incorrect medication or patient information or failing to adequately safeguard patient information. Trust has been suggested as a potential barrier to acceptance of e-prescribing systems </w:t>
      </w:r>
      <w:r w:rsidR="00CB2508" w:rsidRPr="00F064F1">
        <w:t>[6, 12]</w:t>
      </w:r>
      <w:r w:rsidR="00F90D24" w:rsidRPr="00F064F1">
        <w:t>. If a physician believes that an e-prescription system ca</w:t>
      </w:r>
      <w:r w:rsidR="00F90D24" w:rsidRPr="00F064F1">
        <w:t>n</w:t>
      </w:r>
      <w:r w:rsidR="00F90D24" w:rsidRPr="00F064F1">
        <w:t>not be counted on</w:t>
      </w:r>
      <w:r w:rsidR="00F90D24">
        <w:t xml:space="preserve"> to function in a consistent and reliable manner, it is unlikely that he or she will be accepting of it.</w:t>
      </w:r>
    </w:p>
    <w:p w:rsidR="00392AFA" w:rsidRPr="00F87CFA" w:rsidRDefault="00392AFA" w:rsidP="003D0DA4">
      <w:pPr>
        <w:pStyle w:val="Heading1"/>
      </w:pPr>
      <w:r w:rsidRPr="00464F45">
        <w:t>Methods</w:t>
      </w:r>
    </w:p>
    <w:p w:rsidR="00A96574" w:rsidRDefault="00A96574" w:rsidP="00A96574">
      <w:pPr>
        <w:pStyle w:val="Body"/>
      </w:pPr>
      <w:r>
        <w:t>Data was collected via a cross-sectional survey metho</w:t>
      </w:r>
      <w:r>
        <w:t>d</w:t>
      </w:r>
      <w:r>
        <w:t>ology. A structured questionnaire was used to capture information from physicians who were familiar with e-prescribing systems. A sampling frame was constructed from a list of 379 physicians provided by an e-prescription application provider and a list of 260 phys</w:t>
      </w:r>
      <w:r>
        <w:t>i</w:t>
      </w:r>
      <w:r>
        <w:t>cians extracted from the South African Yellow Pages and having valid email addresses. This provided a co</w:t>
      </w:r>
      <w:r>
        <w:t>m</w:t>
      </w:r>
      <w:r>
        <w:t>bined sample of 639 potential respondents.</w:t>
      </w:r>
    </w:p>
    <w:p w:rsidR="00A96574" w:rsidRPr="00993E57" w:rsidRDefault="00A96574" w:rsidP="00A96574">
      <w:pPr>
        <w:pStyle w:val="Body"/>
      </w:pPr>
      <w:r>
        <w:t xml:space="preserve">To capture the UTAUT variables, the survey made use of multi-item, 5-point </w:t>
      </w:r>
      <w:proofErr w:type="spellStart"/>
      <w:r>
        <w:t>Likert</w:t>
      </w:r>
      <w:proofErr w:type="spellEnd"/>
      <w:r>
        <w:t xml:space="preserve"> type-scales. The survey items are presented in </w:t>
      </w:r>
      <w:r w:rsidR="00D25D06">
        <w:t>Appendix</w:t>
      </w:r>
      <w:r>
        <w:t xml:space="preserve">. All items were sourced </w:t>
      </w:r>
      <w:r w:rsidRPr="00993E57">
        <w:t xml:space="preserve">from the literature. Performance and effort expectancy were each measured with six scale items adapted from </w:t>
      </w:r>
      <w:r w:rsidR="00CB2508" w:rsidRPr="00993E57">
        <w:t>[14, 2</w:t>
      </w:r>
      <w:r w:rsidR="00205916" w:rsidRPr="00993E57">
        <w:t xml:space="preserve">2, </w:t>
      </w:r>
      <w:proofErr w:type="gramStart"/>
      <w:r w:rsidR="00205916" w:rsidRPr="00993E57">
        <w:t>23</w:t>
      </w:r>
      <w:proofErr w:type="gramEnd"/>
      <w:r w:rsidR="00CB2508" w:rsidRPr="00993E57">
        <w:t>]</w:t>
      </w:r>
      <w:r w:rsidRPr="00993E57">
        <w:t xml:space="preserve">. Social Influence was measured with three items from </w:t>
      </w:r>
      <w:proofErr w:type="spellStart"/>
      <w:r w:rsidRPr="00993E57">
        <w:t>Ajzen</w:t>
      </w:r>
      <w:proofErr w:type="spellEnd"/>
      <w:r w:rsidRPr="00993E57">
        <w:t xml:space="preserve"> </w:t>
      </w:r>
      <w:r w:rsidR="00CB2508" w:rsidRPr="00993E57">
        <w:t>[</w:t>
      </w:r>
      <w:r w:rsidR="00DE2A22" w:rsidRPr="00993E57">
        <w:t>25</w:t>
      </w:r>
      <w:r w:rsidR="00CB2508" w:rsidRPr="00993E57">
        <w:t xml:space="preserve">] and </w:t>
      </w:r>
      <w:r w:rsidRPr="00993E57">
        <w:t xml:space="preserve">Yi, Jackson, Park &amp; </w:t>
      </w:r>
      <w:proofErr w:type="spellStart"/>
      <w:r w:rsidRPr="00993E57">
        <w:t>Probst</w:t>
      </w:r>
      <w:proofErr w:type="spellEnd"/>
      <w:r w:rsidRPr="00993E57">
        <w:t xml:space="preserve"> </w:t>
      </w:r>
      <w:r w:rsidR="00CB2508" w:rsidRPr="00993E57">
        <w:t>[</w:t>
      </w:r>
      <w:r w:rsidR="00DE2A22" w:rsidRPr="00993E57">
        <w:t>26</w:t>
      </w:r>
      <w:r w:rsidR="00CB2508" w:rsidRPr="00993E57">
        <w:t>]</w:t>
      </w:r>
      <w:r w:rsidRPr="00993E57">
        <w:t xml:space="preserve">, Trust was measured with four items </w:t>
      </w:r>
      <w:r w:rsidR="00CB2508" w:rsidRPr="00993E57">
        <w:t>[</w:t>
      </w:r>
      <w:r w:rsidR="00DE2A22" w:rsidRPr="00993E57">
        <w:t>27</w:t>
      </w:r>
      <w:r w:rsidR="00CB2508" w:rsidRPr="00993E57">
        <w:t>]</w:t>
      </w:r>
      <w:r w:rsidRPr="00993E57">
        <w:t>, Price Va</w:t>
      </w:r>
      <w:r w:rsidRPr="00993E57">
        <w:t>l</w:t>
      </w:r>
      <w:r w:rsidRPr="00993E57">
        <w:t xml:space="preserve">ue was measured with three items </w:t>
      </w:r>
      <w:r w:rsidR="00CB2508" w:rsidRPr="00993E57">
        <w:t>[17]</w:t>
      </w:r>
      <w:r w:rsidRPr="00993E57">
        <w:t xml:space="preserve"> , and technology acceptance was measured using </w:t>
      </w:r>
      <w:proofErr w:type="spellStart"/>
      <w:r w:rsidRPr="00993E57">
        <w:t>Venkatesh</w:t>
      </w:r>
      <w:proofErr w:type="spellEnd"/>
      <w:r w:rsidRPr="00993E57">
        <w:t xml:space="preserve"> et al.’s </w:t>
      </w:r>
      <w:r w:rsidR="00CB2508" w:rsidRPr="00993E57">
        <w:t>[14]</w:t>
      </w:r>
      <w:r w:rsidRPr="00993E57">
        <w:t xml:space="preserve"> three item </w:t>
      </w:r>
      <w:proofErr w:type="spellStart"/>
      <w:r w:rsidRPr="00993E57">
        <w:t>behavioural</w:t>
      </w:r>
      <w:proofErr w:type="spellEnd"/>
      <w:r w:rsidRPr="00993E57">
        <w:t xml:space="preserve"> intention scale.</w:t>
      </w:r>
    </w:p>
    <w:p w:rsidR="009528F0" w:rsidRPr="00993E57" w:rsidRDefault="009528F0" w:rsidP="00A96574">
      <w:pPr>
        <w:pStyle w:val="Body"/>
      </w:pPr>
      <w:r w:rsidRPr="00993E57">
        <w:t>Physicians were also provided an opportunity to add qualitative comments.</w:t>
      </w:r>
    </w:p>
    <w:p w:rsidR="00A96574" w:rsidRDefault="00A96574" w:rsidP="00A96574">
      <w:pPr>
        <w:pStyle w:val="Body"/>
      </w:pPr>
      <w:r>
        <w:t>Ethics clearance was obtained from the relevant review committee at the University of the Witwatersrand, J</w:t>
      </w:r>
      <w:r>
        <w:t>o</w:t>
      </w:r>
      <w:r>
        <w:t>hannesburg (protocol number: CINFO/1021). The cover letter and link to the online questionnaire was sent via email.</w:t>
      </w:r>
    </w:p>
    <w:p w:rsidR="00A96574" w:rsidRDefault="00A96574" w:rsidP="00A96574">
      <w:pPr>
        <w:pStyle w:val="Body"/>
      </w:pPr>
      <w:r>
        <w:t xml:space="preserve">The instrument was pilot tested with </w:t>
      </w:r>
      <w:r w:rsidR="006368CB" w:rsidRPr="006368CB">
        <w:t>2</w:t>
      </w:r>
      <w:r>
        <w:t xml:space="preserve"> physicians prior to its administration.</w:t>
      </w:r>
    </w:p>
    <w:p w:rsidR="00AA4081" w:rsidRPr="00F87CFA" w:rsidRDefault="00AA4081" w:rsidP="00AA4081">
      <w:pPr>
        <w:pStyle w:val="Heading1"/>
      </w:pPr>
      <w:r w:rsidRPr="00F87CFA">
        <w:lastRenderedPageBreak/>
        <w:t>Results</w:t>
      </w:r>
    </w:p>
    <w:p w:rsidR="00A96574" w:rsidRDefault="00AA4081" w:rsidP="00A96574">
      <w:pPr>
        <w:pStyle w:val="Body"/>
      </w:pPr>
      <w:r w:rsidRPr="00AA4081">
        <w:t>A total of 78 physicians responded to the survey, but after removing responses with large amounts of missing data or those with outlying response</w:t>
      </w:r>
      <w:r>
        <w:t xml:space="preserve"> patterns, </w:t>
      </w:r>
      <w:r w:rsidRPr="00AA4081">
        <w:t>72 usable responses remained.</w:t>
      </w:r>
    </w:p>
    <w:p w:rsidR="00AA4081" w:rsidRDefault="00C474D6" w:rsidP="00A96574">
      <w:pPr>
        <w:pStyle w:val="Body"/>
      </w:pPr>
      <w:r>
        <w:t xml:space="preserve">75% of the responding physicians were male, </w:t>
      </w:r>
      <w:r w:rsidR="008679DC">
        <w:t>roughly 25% were between 30-45 years of age and 50% were between 45 and 60 years.</w:t>
      </w:r>
    </w:p>
    <w:p w:rsidR="008679DC" w:rsidRDefault="00623D19" w:rsidP="00A96574">
      <w:pPr>
        <w:pStyle w:val="Body"/>
      </w:pPr>
      <w:r>
        <w:t xml:space="preserve">Approximately one-third of the </w:t>
      </w:r>
      <w:r w:rsidR="008679DC" w:rsidRPr="008679DC">
        <w:t>responding physicians reported that they use</w:t>
      </w:r>
      <w:r>
        <w:t xml:space="preserve"> or have trialed </w:t>
      </w:r>
      <w:r w:rsidR="008679DC" w:rsidRPr="008679DC">
        <w:t>e-Prescribing sy</w:t>
      </w:r>
      <w:r w:rsidR="008679DC" w:rsidRPr="008679DC">
        <w:t>s</w:t>
      </w:r>
      <w:r w:rsidR="008679DC" w:rsidRPr="008679DC">
        <w:t>tems</w:t>
      </w:r>
      <w:r w:rsidR="00D479D8">
        <w:t>.</w:t>
      </w:r>
    </w:p>
    <w:p w:rsidR="00534DC4" w:rsidRPr="00F87CFA" w:rsidRDefault="00534DC4" w:rsidP="00534DC4">
      <w:pPr>
        <w:pStyle w:val="Heading2"/>
      </w:pPr>
      <w:r>
        <w:t>Quantitative Findings</w:t>
      </w:r>
    </w:p>
    <w:p w:rsidR="00C56D49" w:rsidRDefault="008679DC" w:rsidP="00A96574">
      <w:pPr>
        <w:pStyle w:val="Body"/>
      </w:pPr>
      <w:r w:rsidRPr="008679DC">
        <w:t>The mean response to each of the scale items is pr</w:t>
      </w:r>
      <w:r w:rsidRPr="008679DC">
        <w:t>e</w:t>
      </w:r>
      <w:r w:rsidRPr="008679DC">
        <w:t xml:space="preserve">sented in </w:t>
      </w:r>
      <w:r w:rsidR="00C159F0">
        <w:t>Appendix</w:t>
      </w:r>
      <w:r w:rsidR="00A43D0F">
        <w:t xml:space="preserve"> 1</w:t>
      </w:r>
      <w:r w:rsidRPr="008679DC">
        <w:t>.</w:t>
      </w:r>
    </w:p>
    <w:p w:rsidR="00A43D0F" w:rsidRDefault="00A43D0F" w:rsidP="00A96574">
      <w:pPr>
        <w:pStyle w:val="Body"/>
      </w:pPr>
      <w:r w:rsidRPr="00A43D0F">
        <w:t xml:space="preserve">Prior to </w:t>
      </w:r>
      <w:proofErr w:type="spellStart"/>
      <w:r w:rsidRPr="00A43D0F">
        <w:t>analysing</w:t>
      </w:r>
      <w:proofErr w:type="spellEnd"/>
      <w:r w:rsidRPr="00A43D0F">
        <w:t xml:space="preserve"> correlations amongst the studies var</w:t>
      </w:r>
      <w:r w:rsidRPr="00A43D0F">
        <w:t>i</w:t>
      </w:r>
      <w:r w:rsidRPr="00A43D0F">
        <w:t xml:space="preserve">ables, we ran a principal components factor analysis with </w:t>
      </w:r>
      <w:proofErr w:type="spellStart"/>
      <w:r w:rsidRPr="00A43D0F">
        <w:t>varimax</w:t>
      </w:r>
      <w:proofErr w:type="spellEnd"/>
      <w:r w:rsidRPr="00A43D0F">
        <w:t xml:space="preserve"> rotation to confirm the convergent and di</w:t>
      </w:r>
      <w:r w:rsidRPr="00A43D0F">
        <w:t>s</w:t>
      </w:r>
      <w:r w:rsidRPr="00A43D0F">
        <w:t xml:space="preserve">criminant validity of the scales. Five items were dropped at this stage before a stable 7 factor solution explaining 88.6% of the variance could be extracted. The remaining items all loaded onto their expected theoretical factors with loadings of at least 0.65. </w:t>
      </w:r>
      <w:proofErr w:type="spellStart"/>
      <w:r w:rsidRPr="00A43D0F">
        <w:t>Cronbach’s</w:t>
      </w:r>
      <w:proofErr w:type="spellEnd"/>
      <w:r w:rsidRPr="00A43D0F">
        <w:t xml:space="preserve"> alpha co</w:t>
      </w:r>
      <w:r w:rsidRPr="00A43D0F">
        <w:t>n</w:t>
      </w:r>
      <w:r w:rsidRPr="00A43D0F">
        <w:t xml:space="preserve">firmed the reliability of the scales. Descriptive statistics are reported in Table </w:t>
      </w:r>
      <w:r w:rsidR="00C159F0">
        <w:t>1</w:t>
      </w:r>
      <w:r w:rsidRPr="00A43D0F">
        <w:t xml:space="preserve"> below. Composite scores were then computed for each of the scale items for use in subsequent analysis.</w:t>
      </w:r>
    </w:p>
    <w:p w:rsidR="00C56D49" w:rsidRDefault="00C56D49" w:rsidP="00C56D49">
      <w:pPr>
        <w:pStyle w:val="Body"/>
      </w:pPr>
      <w:r>
        <w:t>There</w:t>
      </w:r>
      <w:r w:rsidRPr="00C56D49">
        <w:t xml:space="preserve"> </w:t>
      </w:r>
      <w:r>
        <w:t xml:space="preserve">was generally a high level of acceptance of e-prescribing amongst the responding physicians (m=4.03). 12.5% of the responding physicians were over 65 and they exhibited the lowest acceptance scores. Acceptance is however generally comparable to findings in other countries [e.g. </w:t>
      </w:r>
      <w:r w:rsidR="009355E2">
        <w:t>3</w:t>
      </w:r>
      <w:r>
        <w:t>].</w:t>
      </w:r>
    </w:p>
    <w:p w:rsidR="009355E2" w:rsidRDefault="00055D45" w:rsidP="0025320C">
      <w:pPr>
        <w:pStyle w:val="Body"/>
      </w:pPr>
      <w:r w:rsidRPr="00055D45">
        <w:t xml:space="preserve">Table </w:t>
      </w:r>
      <w:r w:rsidR="00C159F0">
        <w:t>1</w:t>
      </w:r>
      <w:r w:rsidRPr="00055D45">
        <w:t xml:space="preserve"> illustrates the Spearman correlations between Acceptance and each of the UTAUT factors. All the var</w:t>
      </w:r>
      <w:r w:rsidRPr="00055D45">
        <w:t>i</w:t>
      </w:r>
      <w:r w:rsidRPr="00055D45">
        <w:t xml:space="preserve">ables are significantly correlated with acceptance at the p&lt;0.05 level or better. </w:t>
      </w:r>
      <w:r w:rsidR="00C34BD1" w:rsidRPr="00767DF8">
        <w:t>Performance expectancy, trust and price value are the three variables most strongly correlated with acceptance. This suggests that phys</w:t>
      </w:r>
      <w:r w:rsidR="00C34BD1" w:rsidRPr="00767DF8">
        <w:t>i</w:t>
      </w:r>
      <w:r w:rsidR="00C34BD1" w:rsidRPr="00767DF8">
        <w:t xml:space="preserve">cians must believe benefits </w:t>
      </w:r>
      <w:r w:rsidR="0025320C" w:rsidRPr="00767DF8">
        <w:t xml:space="preserve">from use </w:t>
      </w:r>
      <w:r w:rsidR="00C34BD1" w:rsidRPr="00767DF8">
        <w:t>will accrue and will outweigh the time s</w:t>
      </w:r>
      <w:r w:rsidR="0025320C" w:rsidRPr="00767DF8">
        <w:t>pent prescribing electronically. Some past studies found that capturing certain e-prescriptions took longer than writing prescriptions by hand. Any diff</w:t>
      </w:r>
      <w:r w:rsidR="0025320C" w:rsidRPr="00767DF8">
        <w:t>i</w:t>
      </w:r>
      <w:r w:rsidR="0025320C" w:rsidRPr="00767DF8">
        <w:t>culties in using e-prescribing systems are likely to pr</w:t>
      </w:r>
      <w:r w:rsidR="0025320C" w:rsidRPr="00767DF8">
        <w:t>e</w:t>
      </w:r>
      <w:r w:rsidR="0025320C" w:rsidRPr="00767DF8">
        <w:t xml:space="preserve">vent expected benefits from being realized. </w:t>
      </w:r>
      <w:r w:rsidR="00767DF8" w:rsidRPr="00767DF8">
        <w:t>Physicians may be less willing to accept if they perceive systems to be high effort e.g. having high learning curves, poor u</w:t>
      </w:r>
      <w:r w:rsidR="00767DF8" w:rsidRPr="00767DF8">
        <w:t>s</w:t>
      </w:r>
      <w:r w:rsidR="00767DF8" w:rsidRPr="00767DF8">
        <w:t xml:space="preserve">ability and a cause of frustration. </w:t>
      </w:r>
      <w:r w:rsidR="0025320C" w:rsidRPr="00767DF8">
        <w:t>The benefits will also need to exceed the monetary costs associated with ru</w:t>
      </w:r>
      <w:r w:rsidR="0025320C" w:rsidRPr="00767DF8">
        <w:t>n</w:t>
      </w:r>
      <w:r w:rsidR="0025320C" w:rsidRPr="00767DF8">
        <w:t xml:space="preserve">ning e-prescribing systems. </w:t>
      </w:r>
      <w:r w:rsidR="001168FF" w:rsidRPr="00767DF8">
        <w:t>Low levels of trust also a</w:t>
      </w:r>
      <w:r w:rsidR="001168FF" w:rsidRPr="00767DF8">
        <w:t>p</w:t>
      </w:r>
      <w:r w:rsidR="001168FF" w:rsidRPr="00767DF8">
        <w:t xml:space="preserve">pear to be a hindrance to acceptance. </w:t>
      </w:r>
      <w:r w:rsidR="0025320C" w:rsidRPr="00767DF8">
        <w:t xml:space="preserve">Physicians must believe e-prescribing systems </w:t>
      </w:r>
      <w:r w:rsidR="00C34BD1" w:rsidRPr="00767DF8">
        <w:t>will be free or error</w:t>
      </w:r>
      <w:r w:rsidR="001168FF" w:rsidRPr="00767DF8">
        <w:t xml:space="preserve"> and capable of delivering on expectations</w:t>
      </w:r>
      <w:r w:rsidR="0025320C" w:rsidRPr="00767DF8">
        <w:t xml:space="preserve">. </w:t>
      </w:r>
      <w:r w:rsidR="00C34BD1" w:rsidRPr="00767DF8">
        <w:t>Facilitating cond</w:t>
      </w:r>
      <w:r w:rsidR="00C34BD1" w:rsidRPr="00767DF8">
        <w:t>i</w:t>
      </w:r>
      <w:r w:rsidR="00C34BD1" w:rsidRPr="00767DF8">
        <w:t xml:space="preserve">tions </w:t>
      </w:r>
      <w:r w:rsidR="00B4062F">
        <w:t>has only a moderate correlation with</w:t>
      </w:r>
      <w:r w:rsidR="00767DF8" w:rsidRPr="00767DF8">
        <w:t xml:space="preserve"> acceptance. </w:t>
      </w:r>
      <w:r w:rsidR="00B4062F">
        <w:t>This s</w:t>
      </w:r>
      <w:r w:rsidR="00C34BD1" w:rsidRPr="00767DF8">
        <w:t>uggest</w:t>
      </w:r>
      <w:r w:rsidR="00B4062F">
        <w:t>s</w:t>
      </w:r>
      <w:r w:rsidR="00C34BD1" w:rsidRPr="00767DF8">
        <w:t xml:space="preserve"> that </w:t>
      </w:r>
      <w:r w:rsidR="00767DF8" w:rsidRPr="00767DF8">
        <w:t>resources</w:t>
      </w:r>
      <w:r w:rsidR="00C34BD1" w:rsidRPr="00767DF8">
        <w:t xml:space="preserve"> </w:t>
      </w:r>
      <w:r w:rsidR="00767DF8" w:rsidRPr="00767DF8">
        <w:t xml:space="preserve">and technical infrastructure </w:t>
      </w:r>
      <w:r w:rsidR="00B4062F">
        <w:t>may</w:t>
      </w:r>
      <w:r w:rsidR="00C34BD1" w:rsidRPr="00767DF8">
        <w:t xml:space="preserve"> </w:t>
      </w:r>
      <w:r w:rsidR="00767DF8" w:rsidRPr="00767DF8">
        <w:t xml:space="preserve">already </w:t>
      </w:r>
      <w:r w:rsidR="00B4062F">
        <w:t xml:space="preserve">be </w:t>
      </w:r>
      <w:r w:rsidR="00C34BD1" w:rsidRPr="00767DF8">
        <w:t xml:space="preserve">available </w:t>
      </w:r>
      <w:r w:rsidR="00767DF8" w:rsidRPr="00767DF8">
        <w:t>i</w:t>
      </w:r>
      <w:r w:rsidR="00B4062F">
        <w:t>n</w:t>
      </w:r>
      <w:r w:rsidR="00767DF8" w:rsidRPr="00767DF8">
        <w:t xml:space="preserve"> some</w:t>
      </w:r>
      <w:r w:rsidR="00C34BD1" w:rsidRPr="00767DF8">
        <w:t xml:space="preserve"> medical practices</w:t>
      </w:r>
      <w:r w:rsidR="00767DF8" w:rsidRPr="00767DF8">
        <w:t>.</w:t>
      </w:r>
      <w:r w:rsidR="00C34BD1" w:rsidRPr="00767DF8">
        <w:t xml:space="preserve"> </w:t>
      </w:r>
      <w:r w:rsidR="00767DF8">
        <w:t>However, our qualitative results presented later will hig</w:t>
      </w:r>
      <w:r w:rsidR="00767DF8">
        <w:t>h</w:t>
      </w:r>
      <w:r w:rsidR="00767DF8">
        <w:t xml:space="preserve">light </w:t>
      </w:r>
      <w:r w:rsidR="00B4062F">
        <w:t xml:space="preserve">that </w:t>
      </w:r>
      <w:r w:rsidR="00767DF8">
        <w:t>this may not be the case for all physician pra</w:t>
      </w:r>
      <w:r w:rsidR="00767DF8">
        <w:t>c</w:t>
      </w:r>
      <w:r w:rsidR="00767DF8">
        <w:t>tices.</w:t>
      </w:r>
      <w:r w:rsidR="009355E2" w:rsidRPr="009355E2">
        <w:t xml:space="preserve"> </w:t>
      </w:r>
    </w:p>
    <w:p w:rsidR="00A43D0F" w:rsidRDefault="009355E2" w:rsidP="0025320C">
      <w:pPr>
        <w:pStyle w:val="Body"/>
      </w:pPr>
      <w:r>
        <w:t xml:space="preserve">48% of the responding physicians reported having done their own research into e-prescribing but others reported learning about it from other physicians (28%). To further probe the relevance of social influence we compared physician acceptance scores based on how they had learned about e-prescribing. Physicians who had heard </w:t>
      </w:r>
      <w:r>
        <w:lastRenderedPageBreak/>
        <w:t>about e-prescribing from fellow physicians were som</w:t>
      </w:r>
      <w:r>
        <w:t>e</w:t>
      </w:r>
      <w:r>
        <w:t>what more likely to accept e-prescribing (m=4.32) than those who reporting learning about it from other sources (m=3.81) or their own research (m=3.97).</w:t>
      </w:r>
    </w:p>
    <w:p w:rsidR="00A43D0F" w:rsidRPr="00F87CFA" w:rsidRDefault="00A43D0F" w:rsidP="00A43D0F">
      <w:pPr>
        <w:pStyle w:val="Tabletitle"/>
      </w:pPr>
      <w:r w:rsidRPr="00F87CFA">
        <w:t xml:space="preserve">Table </w:t>
      </w:r>
      <w:r w:rsidR="00C159F0">
        <w:t>1</w:t>
      </w:r>
      <w:r w:rsidRPr="00F87CFA">
        <w:t xml:space="preserve"> </w:t>
      </w:r>
      <w:r>
        <w:t>–</w:t>
      </w:r>
      <w:r w:rsidRPr="00F87CFA">
        <w:t xml:space="preserve"> </w:t>
      </w:r>
      <w:r>
        <w:t>Descriptive Statistics</w:t>
      </w:r>
    </w:p>
    <w:tbl>
      <w:tblPr>
        <w:tblW w:w="513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0"/>
        <w:gridCol w:w="630"/>
        <w:gridCol w:w="990"/>
        <w:gridCol w:w="540"/>
        <w:gridCol w:w="540"/>
        <w:gridCol w:w="900"/>
      </w:tblGrid>
      <w:tr w:rsidR="00B8127B" w:rsidRPr="00F87CFA" w:rsidTr="00D25CB4"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Head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Variable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A43D0F" w:rsidRPr="00F87CFA" w:rsidRDefault="00A43D0F" w:rsidP="00C24CB2">
            <w:pPr>
              <w:pStyle w:val="TableHead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No. of items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B8127B" w:rsidRDefault="00A43D0F" w:rsidP="00C24CB2">
            <w:pPr>
              <w:pStyle w:val="TableHead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Mean </w:t>
            </w:r>
          </w:p>
          <w:p w:rsidR="00A43D0F" w:rsidRPr="00F87CFA" w:rsidRDefault="00A43D0F" w:rsidP="00C24CB2">
            <w:pPr>
              <w:pStyle w:val="TableHead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(std dev)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B8127B" w:rsidP="00C24CB2">
            <w:pPr>
              <w:pStyle w:val="TableHead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λ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B8127B" w:rsidP="00C24CB2">
            <w:pPr>
              <w:pStyle w:val="TableHead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3D0F" w:rsidRPr="00F87CFA" w:rsidRDefault="00B8127B" w:rsidP="00C24CB2">
            <w:pPr>
              <w:pStyle w:val="TableHead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ρ</w:t>
            </w:r>
          </w:p>
        </w:tc>
      </w:tr>
      <w:tr w:rsidR="00B8127B" w:rsidRPr="00F87CFA" w:rsidTr="00D25CB4"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Cell"/>
            </w:pPr>
            <w:r>
              <w:t>Acceptance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A43D0F" w:rsidRPr="000C074C" w:rsidRDefault="00A43D0F" w:rsidP="00C24CB2">
            <w:r w:rsidRPr="000C074C">
              <w:t>4.03 (.98)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.67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3D0F" w:rsidRPr="000C074C" w:rsidRDefault="00A43D0F" w:rsidP="00C24CB2">
            <w:r w:rsidRPr="000C074C">
              <w:t>-</w:t>
            </w:r>
          </w:p>
        </w:tc>
      </w:tr>
      <w:tr w:rsidR="00B8127B" w:rsidRPr="00F87CFA" w:rsidTr="00D25CB4"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Cell"/>
            </w:pPr>
            <w:r>
              <w:t>Performance Expectancy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A43D0F" w:rsidRPr="000C074C" w:rsidRDefault="00A43D0F" w:rsidP="00C24CB2">
            <w:r w:rsidRPr="000C074C">
              <w:t>3.86 (.98)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.96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3D0F" w:rsidRPr="000C074C" w:rsidRDefault="00A43D0F" w:rsidP="00C24CB2">
            <w:r w:rsidRPr="000C074C">
              <w:t>.696***</w:t>
            </w:r>
          </w:p>
        </w:tc>
      </w:tr>
      <w:tr w:rsidR="00B8127B" w:rsidRPr="00F87CFA" w:rsidTr="00D25CB4"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Cell"/>
            </w:pPr>
            <w:r>
              <w:t>Effort Expe</w:t>
            </w:r>
            <w:r>
              <w:t>c</w:t>
            </w:r>
            <w:r>
              <w:t>tancy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A43D0F" w:rsidRPr="000C074C" w:rsidRDefault="00A43D0F" w:rsidP="00C24CB2">
            <w:r w:rsidRPr="000C074C">
              <w:t>3.95 (.78)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.65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3D0F" w:rsidRPr="000C074C" w:rsidRDefault="00A43D0F" w:rsidP="00C24CB2">
            <w:r w:rsidRPr="000C074C">
              <w:t>.461***</w:t>
            </w:r>
          </w:p>
        </w:tc>
      </w:tr>
      <w:tr w:rsidR="00B8127B" w:rsidRPr="00F87CFA" w:rsidTr="00D25CB4"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Cell"/>
            </w:pPr>
            <w:r>
              <w:t>Social Infl</w:t>
            </w:r>
            <w:r>
              <w:t>u</w:t>
            </w:r>
            <w:r>
              <w:t>ence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0" w:type="dxa"/>
            </w:tcMar>
          </w:tcPr>
          <w:p w:rsidR="00A43D0F" w:rsidRPr="000C074C" w:rsidRDefault="00A43D0F" w:rsidP="00C24CB2">
            <w:r w:rsidRPr="000C074C">
              <w:t>2.85 (1.06)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.94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3D0F" w:rsidRPr="000C074C" w:rsidRDefault="00A43D0F" w:rsidP="00C24CB2">
            <w:r w:rsidRPr="000C074C">
              <w:t>.314**</w:t>
            </w:r>
          </w:p>
        </w:tc>
      </w:tr>
      <w:tr w:rsidR="00B8127B" w:rsidRPr="00F87CFA" w:rsidTr="00D25CB4"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Cell"/>
            </w:pPr>
            <w:r>
              <w:t>Facilitating Conditions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A43D0F" w:rsidRPr="000C074C" w:rsidRDefault="00A43D0F" w:rsidP="00C24CB2">
            <w:r w:rsidRPr="000C074C">
              <w:t>4.18 (.67)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.78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3D0F" w:rsidRPr="000C074C" w:rsidRDefault="00A43D0F" w:rsidP="00C24CB2">
            <w:r w:rsidRPr="000C074C">
              <w:t>.261*</w:t>
            </w:r>
          </w:p>
        </w:tc>
      </w:tr>
      <w:tr w:rsidR="00B8127B" w:rsidRPr="00F87CFA" w:rsidTr="00D25CB4"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Cell"/>
            </w:pPr>
            <w:r>
              <w:t>Trust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A43D0F" w:rsidRPr="000C074C" w:rsidRDefault="00A43D0F" w:rsidP="00C24CB2">
            <w:r w:rsidRPr="000C074C">
              <w:t>3.56 (.88)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.66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3D0F" w:rsidRPr="000C074C" w:rsidRDefault="00A43D0F" w:rsidP="00C24CB2">
            <w:r w:rsidRPr="000C074C">
              <w:t>.533***</w:t>
            </w:r>
          </w:p>
        </w:tc>
      </w:tr>
      <w:tr w:rsidR="00B8127B" w:rsidRPr="00F87CFA" w:rsidTr="00D25CB4"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43D0F" w:rsidRPr="00F87CFA" w:rsidRDefault="00A43D0F" w:rsidP="00C24CB2">
            <w:pPr>
              <w:pStyle w:val="TableCell"/>
            </w:pPr>
            <w:r>
              <w:t>Price Value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:rsidR="00A43D0F" w:rsidRPr="000C074C" w:rsidRDefault="00A43D0F" w:rsidP="00C24CB2">
            <w:r w:rsidRPr="000C074C">
              <w:t>3.46 (.89)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3D0F" w:rsidRPr="000C074C" w:rsidRDefault="00A43D0F" w:rsidP="00C24CB2">
            <w:r w:rsidRPr="000C074C">
              <w:t>.97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3D0F" w:rsidRPr="000C074C" w:rsidRDefault="00A43D0F" w:rsidP="00C24CB2">
            <w:r w:rsidRPr="000C074C">
              <w:t>.474***</w:t>
            </w:r>
          </w:p>
        </w:tc>
      </w:tr>
      <w:tr w:rsidR="00BD729D" w:rsidRPr="00F87CFA" w:rsidTr="00D25CB4">
        <w:tc>
          <w:tcPr>
            <w:tcW w:w="51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="00BD729D" w:rsidRDefault="00BD729D" w:rsidP="00C24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α=</w:t>
            </w:r>
            <w:proofErr w:type="spellStart"/>
            <w:r>
              <w:rPr>
                <w:sz w:val="18"/>
                <w:szCs w:val="18"/>
              </w:rPr>
              <w:t>Cronbach’s</w:t>
            </w:r>
            <w:proofErr w:type="spellEnd"/>
            <w:r>
              <w:rPr>
                <w:sz w:val="18"/>
                <w:szCs w:val="18"/>
              </w:rPr>
              <w:t xml:space="preserve"> alpha reliability, </w:t>
            </w:r>
            <w:r w:rsidRPr="00BD729D">
              <w:rPr>
                <w:sz w:val="18"/>
                <w:szCs w:val="18"/>
              </w:rPr>
              <w:t>λ=lowest factor loading</w:t>
            </w:r>
            <w:r>
              <w:rPr>
                <w:sz w:val="18"/>
                <w:szCs w:val="18"/>
              </w:rPr>
              <w:t xml:space="preserve">, </w:t>
            </w:r>
            <w:r w:rsidRPr="00BD729D">
              <w:rPr>
                <w:sz w:val="18"/>
                <w:szCs w:val="18"/>
              </w:rPr>
              <w:t>ρ</w:t>
            </w:r>
            <w:r>
              <w:rPr>
                <w:sz w:val="18"/>
                <w:szCs w:val="18"/>
              </w:rPr>
              <w:t xml:space="preserve"> = Spearman correlation</w:t>
            </w:r>
          </w:p>
          <w:p w:rsidR="00BD729D" w:rsidRPr="00BD729D" w:rsidRDefault="00BD729D" w:rsidP="00C24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 p&lt;0.001     ** p&lt;0.01     * p&lt;0.05</w:t>
            </w:r>
          </w:p>
        </w:tc>
      </w:tr>
    </w:tbl>
    <w:p w:rsidR="00055D45" w:rsidRDefault="00055D45" w:rsidP="00055D45">
      <w:pPr>
        <w:pStyle w:val="Body"/>
      </w:pPr>
    </w:p>
    <w:p w:rsidR="00A43D0F" w:rsidRDefault="00055D45" w:rsidP="00055D45">
      <w:pPr>
        <w:pStyle w:val="Body"/>
      </w:pPr>
      <w:r>
        <w:t>Physician computer experience (ρ=-0.</w:t>
      </w:r>
      <w:r w:rsidR="00B15C6B">
        <w:t>0</w:t>
      </w:r>
      <w:bookmarkStart w:id="0" w:name="_GoBack"/>
      <w:bookmarkEnd w:id="0"/>
      <w:r>
        <w:t>39) and age (ρ=-.099) did not correlate significantly with acceptance. A t-test also showed no significant differences in a</w:t>
      </w:r>
      <w:r>
        <w:t>c</w:t>
      </w:r>
      <w:r>
        <w:t>ceptance between male and female physicians (t=-.486).</w:t>
      </w:r>
    </w:p>
    <w:p w:rsidR="00055D45" w:rsidRDefault="00D13A0E" w:rsidP="00055D45">
      <w:pPr>
        <w:pStyle w:val="Body"/>
      </w:pPr>
      <w:r w:rsidRPr="00D13A0E">
        <w:t>There were no significant differences between current users and non-users along any of the variables, except price-value where users had slightly high</w:t>
      </w:r>
      <w:r w:rsidR="00FD15BA">
        <w:t>er perceptions of price-value.</w:t>
      </w:r>
    </w:p>
    <w:p w:rsidR="00534DC4" w:rsidRPr="00F87CFA" w:rsidRDefault="00534DC4" w:rsidP="00534DC4">
      <w:pPr>
        <w:pStyle w:val="Heading2"/>
      </w:pPr>
      <w:r>
        <w:t>Qualitative Findings</w:t>
      </w:r>
    </w:p>
    <w:p w:rsidR="000563A3" w:rsidRDefault="00F14333" w:rsidP="00F14333">
      <w:pPr>
        <w:pStyle w:val="Body"/>
      </w:pPr>
      <w:r>
        <w:t xml:space="preserve">Qualitative comments provided by respondents </w:t>
      </w:r>
      <w:r w:rsidR="00CA3FF8">
        <w:t>corrob</w:t>
      </w:r>
      <w:r w:rsidR="00CA3FF8">
        <w:t>o</w:t>
      </w:r>
      <w:r w:rsidR="00CA3FF8">
        <w:t xml:space="preserve">rated much of the quantitative results, especially with regards to </w:t>
      </w:r>
      <w:r w:rsidR="000563A3">
        <w:t xml:space="preserve">factors of </w:t>
      </w:r>
      <w:r w:rsidR="000043CA">
        <w:t>performance expectancy and</w:t>
      </w:r>
      <w:r w:rsidR="00CA3FF8">
        <w:t xml:space="preserve"> effort ex</w:t>
      </w:r>
      <w:r w:rsidR="00C81F37">
        <w:t xml:space="preserve">pectancy. </w:t>
      </w:r>
    </w:p>
    <w:p w:rsidR="00F14333" w:rsidRDefault="00F14333" w:rsidP="00F14333">
      <w:pPr>
        <w:pStyle w:val="Body"/>
      </w:pPr>
      <w:r>
        <w:t>In relation to performance expectations</w:t>
      </w:r>
      <w:r w:rsidR="00FF1D9F">
        <w:t>,</w:t>
      </w:r>
      <w:r>
        <w:t xml:space="preserve"> </w:t>
      </w:r>
      <w:r w:rsidR="000563A3">
        <w:t>a number of</w:t>
      </w:r>
      <w:r>
        <w:t xml:space="preserve"> physicians </w:t>
      </w:r>
      <w:r w:rsidR="000563A3">
        <w:t xml:space="preserve">expressed concerns </w:t>
      </w:r>
      <w:r w:rsidR="00FF1D9F">
        <w:t>that the technology would negatively impact their process</w:t>
      </w:r>
      <w:r w:rsidR="000563A3">
        <w:t>,</w:t>
      </w:r>
      <w:r w:rsidR="0035235D">
        <w:t xml:space="preserve"> and were not o</w:t>
      </w:r>
      <w:r w:rsidR="0035235D">
        <w:t>p</w:t>
      </w:r>
      <w:r w:rsidR="0035235D">
        <w:t>timistic about time savings</w:t>
      </w:r>
      <w:r>
        <w:t>:</w:t>
      </w:r>
    </w:p>
    <w:p w:rsidR="00F14333" w:rsidRPr="00FF1D9F" w:rsidRDefault="00F14333" w:rsidP="0035235D">
      <w:pPr>
        <w:pStyle w:val="Body"/>
        <w:ind w:left="288"/>
        <w:rPr>
          <w:i/>
        </w:rPr>
      </w:pPr>
      <w:r w:rsidRPr="00FF1D9F">
        <w:rPr>
          <w:i/>
        </w:rPr>
        <w:t>“E-scripting is impractical … it is best to use trad</w:t>
      </w:r>
      <w:r w:rsidRPr="00FF1D9F">
        <w:rPr>
          <w:i/>
        </w:rPr>
        <w:t>i</w:t>
      </w:r>
      <w:r w:rsidRPr="00FF1D9F">
        <w:rPr>
          <w:i/>
        </w:rPr>
        <w:t xml:space="preserve">tional methods. Handing a patient a script improves therapeutic intervention, makes the service personal and in my opinion is better than facing a </w:t>
      </w:r>
      <w:r w:rsidR="00772FDC">
        <w:rPr>
          <w:i/>
        </w:rPr>
        <w:t>PC</w:t>
      </w:r>
      <w:r w:rsidRPr="00FF1D9F">
        <w:rPr>
          <w:i/>
        </w:rPr>
        <w:t xml:space="preserve"> sending scripts out. Technology is great but it must not affect personal care.”</w:t>
      </w:r>
    </w:p>
    <w:p w:rsidR="0035235D" w:rsidRPr="0035235D" w:rsidRDefault="0035235D" w:rsidP="0035235D">
      <w:pPr>
        <w:pStyle w:val="Body"/>
        <w:ind w:left="288"/>
        <w:rPr>
          <w:i/>
        </w:rPr>
      </w:pPr>
      <w:r w:rsidRPr="0035235D">
        <w:rPr>
          <w:i/>
        </w:rPr>
        <w:t>“</w:t>
      </w:r>
      <w:proofErr w:type="gramStart"/>
      <w:r w:rsidRPr="0035235D">
        <w:rPr>
          <w:i/>
        </w:rPr>
        <w:t>too</w:t>
      </w:r>
      <w:proofErr w:type="gramEnd"/>
      <w:r w:rsidRPr="0035235D">
        <w:rPr>
          <w:i/>
        </w:rPr>
        <w:t xml:space="preserve"> time consuming to use during a consultation.”</w:t>
      </w:r>
    </w:p>
    <w:p w:rsidR="0035235D" w:rsidRPr="0035235D" w:rsidRDefault="0035235D" w:rsidP="0035235D">
      <w:pPr>
        <w:pStyle w:val="Body"/>
        <w:ind w:left="288"/>
        <w:rPr>
          <w:i/>
        </w:rPr>
      </w:pPr>
      <w:r w:rsidRPr="0035235D">
        <w:rPr>
          <w:i/>
        </w:rPr>
        <w:t>“I tried to use e-scripting but I still save a lot of time just writing them by hand”</w:t>
      </w:r>
    </w:p>
    <w:p w:rsidR="0035235D" w:rsidRDefault="0035235D" w:rsidP="0035235D">
      <w:pPr>
        <w:pStyle w:val="Body"/>
        <w:ind w:left="288"/>
        <w:rPr>
          <w:i/>
        </w:rPr>
      </w:pPr>
      <w:r w:rsidRPr="0035235D">
        <w:rPr>
          <w:i/>
        </w:rPr>
        <w:t>“Takes more time than writing a script - not cost e</w:t>
      </w:r>
      <w:r w:rsidRPr="0035235D">
        <w:rPr>
          <w:i/>
        </w:rPr>
        <w:t>f</w:t>
      </w:r>
      <w:r w:rsidRPr="0035235D">
        <w:rPr>
          <w:i/>
        </w:rPr>
        <w:t>fective”</w:t>
      </w:r>
    </w:p>
    <w:p w:rsidR="0035235D" w:rsidRPr="0035235D" w:rsidRDefault="0035235D" w:rsidP="0035235D">
      <w:pPr>
        <w:pStyle w:val="Body"/>
        <w:ind w:left="360"/>
        <w:rPr>
          <w:i/>
        </w:rPr>
      </w:pPr>
      <w:r w:rsidRPr="0035235D">
        <w:rPr>
          <w:i/>
        </w:rPr>
        <w:t>“My practice works more speedily &amp; efficiently when scripts are hand written.”</w:t>
      </w:r>
    </w:p>
    <w:p w:rsidR="00F14333" w:rsidRDefault="000563A3" w:rsidP="00F14333">
      <w:pPr>
        <w:pStyle w:val="Body"/>
      </w:pPr>
      <w:r>
        <w:t xml:space="preserve">On the other hand, other physicians </w:t>
      </w:r>
      <w:r w:rsidR="00F14333">
        <w:t>were more optimi</w:t>
      </w:r>
      <w:r w:rsidR="00F14333">
        <w:t>s</w:t>
      </w:r>
      <w:r w:rsidR="00F14333">
        <w:t>tic</w:t>
      </w:r>
      <w:r w:rsidR="0035235D">
        <w:t xml:space="preserve"> about the potential of the technology to improve pe</w:t>
      </w:r>
      <w:r w:rsidR="0035235D">
        <w:t>r</w:t>
      </w:r>
      <w:r w:rsidR="0035235D">
        <w:t>formance</w:t>
      </w:r>
      <w:r w:rsidR="00F14333">
        <w:t>:</w:t>
      </w:r>
    </w:p>
    <w:p w:rsidR="00F14333" w:rsidRPr="0035235D" w:rsidRDefault="00F14333" w:rsidP="0035235D">
      <w:pPr>
        <w:pStyle w:val="Body"/>
        <w:ind w:left="360"/>
        <w:rPr>
          <w:i/>
        </w:rPr>
      </w:pPr>
      <w:r w:rsidRPr="0035235D">
        <w:rPr>
          <w:i/>
        </w:rPr>
        <w:t>“</w:t>
      </w:r>
      <w:r w:rsidR="00BB343C">
        <w:rPr>
          <w:i/>
        </w:rPr>
        <w:t>[e-prescribing software X]</w:t>
      </w:r>
      <w:r w:rsidR="00BB343C" w:rsidRPr="00967254">
        <w:rPr>
          <w:i/>
        </w:rPr>
        <w:t xml:space="preserve"> </w:t>
      </w:r>
      <w:r w:rsidRPr="0035235D">
        <w:rPr>
          <w:i/>
        </w:rPr>
        <w:t>eliminates all the errors in dosing,</w:t>
      </w:r>
      <w:r w:rsidR="0035235D" w:rsidRPr="0035235D">
        <w:rPr>
          <w:i/>
        </w:rPr>
        <w:t xml:space="preserve"> </w:t>
      </w:r>
      <w:r w:rsidRPr="0035235D">
        <w:rPr>
          <w:i/>
        </w:rPr>
        <w:t xml:space="preserve">and at the same time the software itself has </w:t>
      </w:r>
      <w:r w:rsidRPr="0035235D">
        <w:rPr>
          <w:i/>
        </w:rPr>
        <w:lastRenderedPageBreak/>
        <w:t>in</w:t>
      </w:r>
      <w:r w:rsidR="00772FDC">
        <w:rPr>
          <w:i/>
        </w:rPr>
        <w:t>-</w:t>
      </w:r>
      <w:r w:rsidRPr="0035235D">
        <w:rPr>
          <w:i/>
        </w:rPr>
        <w:t>bu</w:t>
      </w:r>
      <w:r w:rsidR="00772FDC">
        <w:rPr>
          <w:i/>
        </w:rPr>
        <w:t>i</w:t>
      </w:r>
      <w:r w:rsidRPr="0035235D">
        <w:rPr>
          <w:i/>
        </w:rPr>
        <w:t>lt ICD10 coding which is now a pre requisite to prescribing patient treatment.”</w:t>
      </w:r>
    </w:p>
    <w:p w:rsidR="00F14333" w:rsidRPr="0035235D" w:rsidRDefault="00F14333" w:rsidP="0035235D">
      <w:pPr>
        <w:pStyle w:val="Body"/>
        <w:ind w:left="360"/>
        <w:rPr>
          <w:i/>
        </w:rPr>
      </w:pPr>
      <w:r w:rsidRPr="0035235D">
        <w:rPr>
          <w:i/>
        </w:rPr>
        <w:t xml:space="preserve">“Makes for easier record keeping and fits into a more comprehensive </w:t>
      </w:r>
      <w:proofErr w:type="spellStart"/>
      <w:r w:rsidRPr="0035235D">
        <w:rPr>
          <w:i/>
        </w:rPr>
        <w:t>ePati</w:t>
      </w:r>
      <w:r w:rsidR="00772FDC">
        <w:rPr>
          <w:i/>
        </w:rPr>
        <w:t>e</w:t>
      </w:r>
      <w:r w:rsidRPr="0035235D">
        <w:rPr>
          <w:i/>
        </w:rPr>
        <w:t>nt</w:t>
      </w:r>
      <w:proofErr w:type="spellEnd"/>
      <w:r w:rsidRPr="0035235D">
        <w:rPr>
          <w:i/>
        </w:rPr>
        <w:t xml:space="preserve"> Record System”</w:t>
      </w:r>
    </w:p>
    <w:p w:rsidR="00F14333" w:rsidRDefault="00F14333" w:rsidP="00F14333">
      <w:pPr>
        <w:pStyle w:val="Body"/>
      </w:pPr>
      <w:r>
        <w:t xml:space="preserve">In relation to </w:t>
      </w:r>
      <w:r w:rsidR="00774D8E">
        <w:t xml:space="preserve">effort expectancy and </w:t>
      </w:r>
      <w:r>
        <w:t xml:space="preserve">ease of use, there were </w:t>
      </w:r>
      <w:r w:rsidR="00774D8E">
        <w:t xml:space="preserve">also </w:t>
      </w:r>
      <w:r>
        <w:t>some concerns expressed:</w:t>
      </w:r>
    </w:p>
    <w:p w:rsidR="00F14333" w:rsidRPr="0035235D" w:rsidRDefault="00F14333" w:rsidP="0035235D">
      <w:pPr>
        <w:pStyle w:val="Body"/>
        <w:ind w:left="288"/>
        <w:rPr>
          <w:i/>
        </w:rPr>
      </w:pPr>
      <w:r w:rsidRPr="0035235D">
        <w:rPr>
          <w:i/>
        </w:rPr>
        <w:t>“The user interface is still quite cumbersome ... I don</w:t>
      </w:r>
      <w:r w:rsidR="00772FDC">
        <w:rPr>
          <w:i/>
        </w:rPr>
        <w:t>’</w:t>
      </w:r>
      <w:r w:rsidRPr="0035235D">
        <w:rPr>
          <w:i/>
        </w:rPr>
        <w:t>t use the program much because of the cumbe</w:t>
      </w:r>
      <w:r w:rsidRPr="0035235D">
        <w:rPr>
          <w:i/>
        </w:rPr>
        <w:t>r</w:t>
      </w:r>
      <w:r w:rsidRPr="0035235D">
        <w:rPr>
          <w:i/>
        </w:rPr>
        <w:t>some nature of it … it is not always on line when I am consulting.”</w:t>
      </w:r>
    </w:p>
    <w:p w:rsidR="0035235D" w:rsidRPr="0035235D" w:rsidRDefault="0035235D" w:rsidP="0035235D">
      <w:pPr>
        <w:pStyle w:val="Body"/>
        <w:ind w:firstLine="288"/>
        <w:rPr>
          <w:i/>
        </w:rPr>
      </w:pPr>
      <w:r w:rsidRPr="0035235D">
        <w:rPr>
          <w:i/>
        </w:rPr>
        <w:t>“Too much admin to use”</w:t>
      </w:r>
    </w:p>
    <w:p w:rsidR="0035235D" w:rsidRPr="00FF1D9F" w:rsidRDefault="0035235D" w:rsidP="0035235D">
      <w:pPr>
        <w:pStyle w:val="Body"/>
        <w:ind w:left="288"/>
        <w:rPr>
          <w:i/>
        </w:rPr>
      </w:pPr>
      <w:r w:rsidRPr="00FF1D9F">
        <w:rPr>
          <w:i/>
        </w:rPr>
        <w:t>“Patients do not like a doctor whose nose is frequen</w:t>
      </w:r>
      <w:r w:rsidRPr="00FF1D9F">
        <w:rPr>
          <w:i/>
        </w:rPr>
        <w:t>t</w:t>
      </w:r>
      <w:r w:rsidRPr="00FF1D9F">
        <w:rPr>
          <w:i/>
        </w:rPr>
        <w:t>ly stuck in a comput</w:t>
      </w:r>
      <w:r w:rsidR="00772FDC">
        <w:rPr>
          <w:i/>
        </w:rPr>
        <w:t>e</w:t>
      </w:r>
      <w:r w:rsidRPr="00FF1D9F">
        <w:rPr>
          <w:i/>
        </w:rPr>
        <w:t>r.”</w:t>
      </w:r>
    </w:p>
    <w:p w:rsidR="00F14333" w:rsidRDefault="0035235D" w:rsidP="00F14333">
      <w:pPr>
        <w:pStyle w:val="Body"/>
      </w:pPr>
      <w:r>
        <w:t>It was also app</w:t>
      </w:r>
      <w:r w:rsidR="00F14333">
        <w:t>ar</w:t>
      </w:r>
      <w:r>
        <w:t>ent</w:t>
      </w:r>
      <w:r w:rsidR="00F14333">
        <w:t xml:space="preserve"> that vendors can do much to i</w:t>
      </w:r>
      <w:r w:rsidR="00F14333">
        <w:t>m</w:t>
      </w:r>
      <w:r w:rsidR="00F14333">
        <w:t xml:space="preserve">prove usability </w:t>
      </w:r>
      <w:r>
        <w:t xml:space="preserve">and ease of use </w:t>
      </w:r>
      <w:r w:rsidR="00F14333">
        <w:t>as reflected in this ph</w:t>
      </w:r>
      <w:r w:rsidR="00F14333">
        <w:t>y</w:t>
      </w:r>
      <w:r w:rsidR="00F14333">
        <w:t>sician’s comment:</w:t>
      </w:r>
    </w:p>
    <w:p w:rsidR="00F14333" w:rsidRPr="0035235D" w:rsidRDefault="00F14333" w:rsidP="00967254">
      <w:pPr>
        <w:pStyle w:val="Body"/>
        <w:ind w:left="270"/>
        <w:rPr>
          <w:i/>
        </w:rPr>
      </w:pPr>
      <w:r w:rsidRPr="0035235D">
        <w:rPr>
          <w:i/>
        </w:rPr>
        <w:t>“</w:t>
      </w:r>
      <w:r w:rsidR="00967254">
        <w:rPr>
          <w:i/>
        </w:rPr>
        <w:t xml:space="preserve">[e-prescribing software </w:t>
      </w:r>
      <w:r w:rsidR="00BB343C">
        <w:rPr>
          <w:i/>
        </w:rPr>
        <w:t>Y</w:t>
      </w:r>
      <w:r w:rsidR="00967254">
        <w:rPr>
          <w:i/>
        </w:rPr>
        <w:t>]</w:t>
      </w:r>
      <w:r w:rsidR="00967254" w:rsidRPr="00967254">
        <w:rPr>
          <w:i/>
        </w:rPr>
        <w:t xml:space="preserve"> was </w:t>
      </w:r>
      <w:r w:rsidR="00967254">
        <w:rPr>
          <w:i/>
        </w:rPr>
        <w:t xml:space="preserve">free but not very user friendly. </w:t>
      </w:r>
      <w:r w:rsidR="00967254" w:rsidRPr="00967254">
        <w:rPr>
          <w:i/>
        </w:rPr>
        <w:t xml:space="preserve">I used it and was great but </w:t>
      </w:r>
      <w:r w:rsidRPr="0035235D">
        <w:rPr>
          <w:i/>
        </w:rPr>
        <w:t xml:space="preserve">my software I use now is much </w:t>
      </w:r>
      <w:proofErr w:type="gramStart"/>
      <w:r w:rsidRPr="0035235D">
        <w:rPr>
          <w:i/>
        </w:rPr>
        <w:t>mo</w:t>
      </w:r>
      <w:r w:rsidR="00967254">
        <w:rPr>
          <w:i/>
        </w:rPr>
        <w:t>re friendly</w:t>
      </w:r>
      <w:proofErr w:type="gramEnd"/>
      <w:r w:rsidR="00967254">
        <w:rPr>
          <w:i/>
        </w:rPr>
        <w:t xml:space="preserve"> and works for me!!”</w:t>
      </w:r>
    </w:p>
    <w:p w:rsidR="00F14333" w:rsidRDefault="00C81F37" w:rsidP="00F14333">
      <w:pPr>
        <w:pStyle w:val="Body"/>
      </w:pPr>
      <w:r>
        <w:t>Some physician practices may still struggle with the r</w:t>
      </w:r>
      <w:r>
        <w:t>e</w:t>
      </w:r>
      <w:r>
        <w:t xml:space="preserve">quired facilitating conditions. </w:t>
      </w:r>
      <w:r w:rsidR="00F14333">
        <w:t xml:space="preserve">The need for facilitating resources and absence of skills and </w:t>
      </w:r>
      <w:r w:rsidR="00953D57">
        <w:t xml:space="preserve">vendor </w:t>
      </w:r>
      <w:r w:rsidR="00F14333">
        <w:t>support led to some frustration</w:t>
      </w:r>
      <w:r>
        <w:t xml:space="preserve"> in a few practice</w:t>
      </w:r>
      <w:r w:rsidR="00F14333">
        <w:t>. For example</w:t>
      </w:r>
      <w:r w:rsidR="00E96208">
        <w:t xml:space="preserve">, </w:t>
      </w:r>
      <w:r>
        <w:t>some</w:t>
      </w:r>
      <w:r w:rsidR="00E96208">
        <w:t xml:space="preserve"> physicians commented:</w:t>
      </w:r>
    </w:p>
    <w:p w:rsidR="00F14333" w:rsidRPr="0083316B" w:rsidRDefault="00F14333" w:rsidP="0083316B">
      <w:pPr>
        <w:pStyle w:val="Body"/>
        <w:ind w:left="270"/>
        <w:rPr>
          <w:i/>
        </w:rPr>
      </w:pPr>
      <w:proofErr w:type="gramStart"/>
      <w:r w:rsidRPr="0083316B">
        <w:rPr>
          <w:i/>
        </w:rPr>
        <w:t>“</w:t>
      </w:r>
      <w:r w:rsidR="00E96208">
        <w:rPr>
          <w:i/>
        </w:rPr>
        <w:t>[I]</w:t>
      </w:r>
      <w:r w:rsidRPr="0083316B">
        <w:rPr>
          <w:i/>
        </w:rPr>
        <w:t xml:space="preserve"> do not have the time nor the money for extra staff to capture all the initial data on the </w:t>
      </w:r>
      <w:r w:rsidR="00E96208">
        <w:rPr>
          <w:i/>
        </w:rPr>
        <w:t>c</w:t>
      </w:r>
      <w:r w:rsidRPr="0083316B">
        <w:rPr>
          <w:i/>
        </w:rPr>
        <w:t>omputer</w:t>
      </w:r>
      <w:r w:rsidR="00E96208">
        <w:rPr>
          <w:i/>
        </w:rPr>
        <w:t>”</w:t>
      </w:r>
      <w:proofErr w:type="gramEnd"/>
    </w:p>
    <w:p w:rsidR="00F14333" w:rsidRPr="0083316B" w:rsidRDefault="00F14333" w:rsidP="0083316B">
      <w:pPr>
        <w:pStyle w:val="Body"/>
        <w:ind w:left="270"/>
        <w:rPr>
          <w:i/>
        </w:rPr>
      </w:pPr>
      <w:r w:rsidRPr="0083316B">
        <w:rPr>
          <w:i/>
        </w:rPr>
        <w:t>“</w:t>
      </w:r>
      <w:r w:rsidR="00E96208">
        <w:rPr>
          <w:i/>
        </w:rPr>
        <w:t>[</w:t>
      </w:r>
      <w:r w:rsidRPr="0083316B">
        <w:rPr>
          <w:i/>
        </w:rPr>
        <w:t>The</w:t>
      </w:r>
      <w:r w:rsidR="00E96208">
        <w:rPr>
          <w:i/>
        </w:rPr>
        <w:t xml:space="preserve"> vendor]</w:t>
      </w:r>
      <w:r w:rsidRPr="0083316B">
        <w:rPr>
          <w:i/>
        </w:rPr>
        <w:t xml:space="preserve"> took more than a month to link me to the system after registering, so I never started using it”</w:t>
      </w:r>
    </w:p>
    <w:p w:rsidR="00F14333" w:rsidRDefault="00F14333" w:rsidP="0083316B">
      <w:pPr>
        <w:pStyle w:val="Body"/>
        <w:ind w:left="270"/>
      </w:pPr>
      <w:r w:rsidRPr="0083316B">
        <w:rPr>
          <w:i/>
        </w:rPr>
        <w:t>“Need easy step by step explanation setup and how it works and how to use it”</w:t>
      </w:r>
    </w:p>
    <w:p w:rsidR="00F14333" w:rsidRPr="0083316B" w:rsidRDefault="00F14333" w:rsidP="0083316B">
      <w:pPr>
        <w:pStyle w:val="Body"/>
        <w:ind w:left="270"/>
        <w:rPr>
          <w:i/>
        </w:rPr>
      </w:pPr>
      <w:r w:rsidRPr="0083316B">
        <w:rPr>
          <w:i/>
        </w:rPr>
        <w:t xml:space="preserve">“My current </w:t>
      </w:r>
      <w:r w:rsidR="0083316B" w:rsidRPr="0083316B">
        <w:rPr>
          <w:i/>
        </w:rPr>
        <w:t>[software]</w:t>
      </w:r>
      <w:r w:rsidRPr="0083316B">
        <w:rPr>
          <w:i/>
        </w:rPr>
        <w:t xml:space="preserve"> system cannot be updated, </w:t>
      </w:r>
      <w:proofErr w:type="spellStart"/>
      <w:r w:rsidRPr="0083316B">
        <w:rPr>
          <w:i/>
        </w:rPr>
        <w:t>ie</w:t>
      </w:r>
      <w:proofErr w:type="spellEnd"/>
      <w:r w:rsidRPr="0083316B">
        <w:rPr>
          <w:i/>
        </w:rPr>
        <w:t xml:space="preserve"> new medications cannot be added by the suppliers”</w:t>
      </w:r>
    </w:p>
    <w:p w:rsidR="00953D57" w:rsidRPr="00953D57" w:rsidRDefault="00953D57" w:rsidP="00953D57">
      <w:pPr>
        <w:pStyle w:val="Body"/>
        <w:ind w:left="270"/>
        <w:rPr>
          <w:i/>
        </w:rPr>
      </w:pPr>
      <w:r w:rsidRPr="00953D57">
        <w:rPr>
          <w:i/>
        </w:rPr>
        <w:t>“</w:t>
      </w:r>
      <w:proofErr w:type="gramStart"/>
      <w:r w:rsidRPr="00953D57">
        <w:rPr>
          <w:i/>
        </w:rPr>
        <w:t>system</w:t>
      </w:r>
      <w:proofErr w:type="gramEnd"/>
      <w:r w:rsidRPr="00953D57">
        <w:rPr>
          <w:i/>
        </w:rPr>
        <w:t xml:space="preserve"> works but developer has no interest (as per usual) to make it work well, let alone optimal”</w:t>
      </w:r>
    </w:p>
    <w:p w:rsidR="00F14333" w:rsidRDefault="00C81F37" w:rsidP="00F14333">
      <w:pPr>
        <w:pStyle w:val="Body"/>
      </w:pPr>
      <w:r>
        <w:t>Additional insights were also provided with regards to physicians</w:t>
      </w:r>
      <w:r w:rsidR="00B4062F">
        <w:t>’</w:t>
      </w:r>
      <w:r>
        <w:t xml:space="preserve"> broader concerns about the regulatory and technical environments available to support e-prescribing. </w:t>
      </w:r>
      <w:r w:rsidR="00F14333">
        <w:t>Broader technical and regulatory issues are still undermining the perceived benefits of the technol</w:t>
      </w:r>
      <w:r w:rsidR="00F14333">
        <w:t>o</w:t>
      </w:r>
      <w:r w:rsidR="00F14333">
        <w:t>gy</w:t>
      </w:r>
      <w:r w:rsidR="00631EA7">
        <w:t>, with physicians commenting</w:t>
      </w:r>
      <w:r w:rsidR="00F14333">
        <w:t>:</w:t>
      </w:r>
    </w:p>
    <w:p w:rsidR="00F14333" w:rsidRPr="00953D57" w:rsidRDefault="00F14333" w:rsidP="00953D57">
      <w:pPr>
        <w:pStyle w:val="Body"/>
        <w:ind w:left="270"/>
        <w:rPr>
          <w:i/>
        </w:rPr>
      </w:pPr>
      <w:r w:rsidRPr="00953D57">
        <w:rPr>
          <w:i/>
        </w:rPr>
        <w:t>“</w:t>
      </w:r>
      <w:proofErr w:type="gramStart"/>
      <w:r w:rsidRPr="00953D57">
        <w:rPr>
          <w:i/>
        </w:rPr>
        <w:t>e-prescribing</w:t>
      </w:r>
      <w:proofErr w:type="gramEnd"/>
      <w:r w:rsidRPr="00953D57">
        <w:rPr>
          <w:i/>
        </w:rPr>
        <w:t xml:space="preserve"> still requires ink signature to be l</w:t>
      </w:r>
      <w:r w:rsidRPr="00953D57">
        <w:rPr>
          <w:i/>
        </w:rPr>
        <w:t>e</w:t>
      </w:r>
      <w:r w:rsidRPr="00953D57">
        <w:rPr>
          <w:i/>
        </w:rPr>
        <w:t xml:space="preserve">gal…electronic signature or image should be </w:t>
      </w:r>
      <w:proofErr w:type="spellStart"/>
      <w:r w:rsidRPr="00953D57">
        <w:rPr>
          <w:i/>
        </w:rPr>
        <w:t>lega</w:t>
      </w:r>
      <w:r w:rsidRPr="00953D57">
        <w:rPr>
          <w:i/>
        </w:rPr>
        <w:t>l</w:t>
      </w:r>
      <w:r w:rsidRPr="00953D57">
        <w:rPr>
          <w:i/>
        </w:rPr>
        <w:t>ised</w:t>
      </w:r>
      <w:proofErr w:type="spellEnd"/>
      <w:r w:rsidRPr="00953D57">
        <w:rPr>
          <w:i/>
        </w:rPr>
        <w:t>”</w:t>
      </w:r>
    </w:p>
    <w:p w:rsidR="00F14333" w:rsidRPr="00953D57" w:rsidRDefault="00F14333" w:rsidP="00953D57">
      <w:pPr>
        <w:pStyle w:val="Body"/>
        <w:ind w:left="270"/>
        <w:rPr>
          <w:i/>
        </w:rPr>
      </w:pPr>
      <w:r w:rsidRPr="00953D57">
        <w:rPr>
          <w:i/>
        </w:rPr>
        <w:t xml:space="preserve"> “</w:t>
      </w:r>
      <w:r w:rsidR="00772FDC" w:rsidRPr="00953D57">
        <w:rPr>
          <w:i/>
        </w:rPr>
        <w:t>Interoperability</w:t>
      </w:r>
      <w:r w:rsidRPr="00953D57">
        <w:rPr>
          <w:i/>
        </w:rPr>
        <w:t xml:space="preserve"> and confidentiality remain the two biggest problems”</w:t>
      </w:r>
    </w:p>
    <w:p w:rsidR="00F14333" w:rsidRDefault="00F14333" w:rsidP="00953D57">
      <w:pPr>
        <w:pStyle w:val="Body"/>
        <w:ind w:left="270"/>
      </w:pPr>
      <w:r w:rsidRPr="00953D57">
        <w:rPr>
          <w:i/>
        </w:rPr>
        <w:t xml:space="preserve">“Have yet to find a product that </w:t>
      </w:r>
      <w:r w:rsidR="00772FDC" w:rsidRPr="00953D57">
        <w:rPr>
          <w:i/>
        </w:rPr>
        <w:t>integrates</w:t>
      </w:r>
      <w:r w:rsidRPr="00953D57">
        <w:rPr>
          <w:i/>
        </w:rPr>
        <w:t xml:space="preserve"> properly with the billing system, but remains fully functional and quick”</w:t>
      </w:r>
    </w:p>
    <w:p w:rsidR="00076CC5" w:rsidRDefault="00076CC5" w:rsidP="00076CC5">
      <w:pPr>
        <w:pStyle w:val="Heading1"/>
      </w:pPr>
      <w:r>
        <w:t>Discussion and Conclusion</w:t>
      </w:r>
    </w:p>
    <w:p w:rsidR="002066D1" w:rsidRDefault="008E54AB" w:rsidP="000E7100">
      <w:pPr>
        <w:spacing w:before="60" w:after="60"/>
      </w:pPr>
      <w:r>
        <w:t>Diffusion of e-Prescribing systems into physician pra</w:t>
      </w:r>
      <w:r>
        <w:t>c</w:t>
      </w:r>
      <w:r>
        <w:t>tice has been slow</w:t>
      </w:r>
      <w:r w:rsidR="002E4C5F">
        <w:t xml:space="preserve">. </w:t>
      </w:r>
      <w:r>
        <w:t>This is despite the potential of such sys</w:t>
      </w:r>
      <w:r w:rsidR="002E4C5F">
        <w:t>tems to improve the quality and safety of the pr</w:t>
      </w:r>
      <w:r w:rsidR="002E4C5F">
        <w:t>e</w:t>
      </w:r>
      <w:r w:rsidR="002E4C5F">
        <w:t>scribing process. To better understand the perceptions and attitudes of physicians, w</w:t>
      </w:r>
      <w:r>
        <w:t>e carried out a s</w:t>
      </w:r>
      <w:r w:rsidR="002E4C5F">
        <w:t>urvey</w:t>
      </w:r>
      <w:r>
        <w:t xml:space="preserve"> of 72 physicians i</w:t>
      </w:r>
      <w:r w:rsidR="002E4C5F">
        <w:t>n South Africa</w:t>
      </w:r>
      <w:r w:rsidR="002066D1">
        <w:t xml:space="preserve">. </w:t>
      </w:r>
    </w:p>
    <w:p w:rsidR="00035D85" w:rsidRDefault="002066D1" w:rsidP="000E7100">
      <w:pPr>
        <w:spacing w:before="60" w:after="60"/>
      </w:pPr>
      <w:r>
        <w:t>We</w:t>
      </w:r>
      <w:r w:rsidR="002E4C5F">
        <w:t xml:space="preserve"> found that physicians were general</w:t>
      </w:r>
      <w:r w:rsidR="00035D85">
        <w:t>ly accepting of the technology with p</w:t>
      </w:r>
      <w:r w:rsidR="0020005A">
        <w:t xml:space="preserve">erformance expectancy found to be the strongest correlate of acceptance. </w:t>
      </w:r>
      <w:proofErr w:type="gramStart"/>
      <w:r w:rsidR="0020005A">
        <w:t>e-Prescribing</w:t>
      </w:r>
      <w:proofErr w:type="gramEnd"/>
      <w:r w:rsidR="0020005A">
        <w:t xml:space="preserve"> sy</w:t>
      </w:r>
      <w:r w:rsidR="0020005A">
        <w:t>s</w:t>
      </w:r>
      <w:r w:rsidR="0020005A">
        <w:t xml:space="preserve">tems must </w:t>
      </w:r>
      <w:r>
        <w:t xml:space="preserve">therefore </w:t>
      </w:r>
      <w:r w:rsidR="0020005A">
        <w:t xml:space="preserve">be designed to </w:t>
      </w:r>
      <w:r w:rsidR="00CF3B51">
        <w:t xml:space="preserve">bring direct benefit </w:t>
      </w:r>
      <w:r w:rsidR="00CF3B51">
        <w:lastRenderedPageBreak/>
        <w:t xml:space="preserve">to the physician in the form of </w:t>
      </w:r>
      <w:r w:rsidR="0020005A">
        <w:t>improve</w:t>
      </w:r>
      <w:r w:rsidR="00CF3B51">
        <w:t>d</w:t>
      </w:r>
      <w:r w:rsidR="0020005A">
        <w:t xml:space="preserve"> productivity</w:t>
      </w:r>
      <w:r w:rsidR="00CF3B51">
        <w:t xml:space="preserve"> and a more effective</w:t>
      </w:r>
      <w:r w:rsidR="0020005A">
        <w:t xml:space="preserve"> prescribing process. </w:t>
      </w:r>
    </w:p>
    <w:p w:rsidR="0018606F" w:rsidRDefault="000E7100" w:rsidP="000E7100">
      <w:pPr>
        <w:spacing w:before="60" w:after="60"/>
      </w:pPr>
      <w:r>
        <w:t>Our findings also confirm that e-prescribing is a complex task that required both software and hardware to be o</w:t>
      </w:r>
      <w:r>
        <w:t>p</w:t>
      </w:r>
      <w:r>
        <w:t xml:space="preserve">timally configured </w:t>
      </w:r>
      <w:r w:rsidR="009355E2">
        <w:t>[8]</w:t>
      </w:r>
      <w:r>
        <w:t xml:space="preserve">. </w:t>
      </w:r>
      <w:proofErr w:type="gramStart"/>
      <w:r w:rsidR="00035D85">
        <w:t>e-Prescribing</w:t>
      </w:r>
      <w:proofErr w:type="gramEnd"/>
      <w:r w:rsidR="00035D85">
        <w:t xml:space="preserve"> </w:t>
      </w:r>
      <w:r w:rsidR="0018606F">
        <w:t xml:space="preserve">systems must be </w:t>
      </w:r>
      <w:r w:rsidR="00C10DF5">
        <w:t>stable</w:t>
      </w:r>
      <w:r w:rsidR="001E5E4C">
        <w:t>, accurate</w:t>
      </w:r>
      <w:r w:rsidR="0018606F">
        <w:t xml:space="preserve"> and perform consistent</w:t>
      </w:r>
      <w:r w:rsidR="00035D85">
        <w:t>ly, and</w:t>
      </w:r>
      <w:r w:rsidR="0018606F">
        <w:t xml:space="preserve"> must add value without impacting negatively on the physician’s ability to interact with patients.</w:t>
      </w:r>
      <w:r w:rsidR="00795BDC" w:rsidRPr="00795BDC">
        <w:t xml:space="preserve"> </w:t>
      </w:r>
      <w:r w:rsidR="00795BDC">
        <w:t>The systems must be easy to use, and unobtrusive at the point of care.</w:t>
      </w:r>
      <w:r w:rsidR="0000253B">
        <w:t xml:space="preserve"> </w:t>
      </w:r>
    </w:p>
    <w:p w:rsidR="002E4C5F" w:rsidRDefault="002066D1" w:rsidP="0000253B">
      <w:pPr>
        <w:spacing w:before="60" w:after="60"/>
      </w:pPr>
      <w:r>
        <w:t>Moreover,</w:t>
      </w:r>
      <w:r w:rsidR="0020005A">
        <w:t xml:space="preserve"> if physicians are responsible for the costs of running and supporting the systems, </w:t>
      </w:r>
      <w:r w:rsidR="00F454AF">
        <w:t>acceptance will be slow</w:t>
      </w:r>
      <w:r w:rsidR="0020005A">
        <w:t>.</w:t>
      </w:r>
      <w:r w:rsidR="00F454AF">
        <w:t xml:space="preserve"> </w:t>
      </w:r>
      <w:r w:rsidR="00303E40">
        <w:t>Financial support and incentives may</w:t>
      </w:r>
      <w:r w:rsidR="00B4062F">
        <w:t xml:space="preserve"> be important to the technology’</w:t>
      </w:r>
      <w:r w:rsidR="00303E40">
        <w:t>s success. In addition, physician pra</w:t>
      </w:r>
      <w:r w:rsidR="00303E40">
        <w:t>c</w:t>
      </w:r>
      <w:r w:rsidR="00303E40">
        <w:t xml:space="preserve">tices often lack necessary technology infrastructure and skills. </w:t>
      </w:r>
      <w:r w:rsidR="000E7100">
        <w:t xml:space="preserve">Our findings </w:t>
      </w:r>
      <w:r w:rsidR="00753ACE">
        <w:t>thus</w:t>
      </w:r>
      <w:r w:rsidR="000E7100">
        <w:t xml:space="preserve"> corroborate suggestion</w:t>
      </w:r>
      <w:r w:rsidR="00753ACE">
        <w:t>s</w:t>
      </w:r>
      <w:r w:rsidR="000E7100">
        <w:t xml:space="preserve"> </w:t>
      </w:r>
      <w:r w:rsidR="00753ACE">
        <w:t>[</w:t>
      </w:r>
      <w:r w:rsidR="009355E2">
        <w:t>2</w:t>
      </w:r>
      <w:r w:rsidR="00753ACE">
        <w:t>]</w:t>
      </w:r>
      <w:r w:rsidR="000E7100">
        <w:t xml:space="preserve"> that vendor monitoring and outreach are essential to ensure that physicians have up-to-date software and functional hardware. </w:t>
      </w:r>
      <w:r w:rsidR="00F454AF">
        <w:t xml:space="preserve">Vendor support </w:t>
      </w:r>
      <w:r w:rsidR="00385BD9">
        <w:t>can</w:t>
      </w:r>
      <w:r w:rsidR="00F454AF">
        <w:t xml:space="preserve"> go a long way to remo</w:t>
      </w:r>
      <w:r w:rsidR="00F454AF">
        <w:t>v</w:t>
      </w:r>
      <w:r w:rsidR="00F454AF">
        <w:t>ing the frustration and barri</w:t>
      </w:r>
      <w:r w:rsidR="00303E40">
        <w:t>ers to use, but must be deli</w:t>
      </w:r>
      <w:r w:rsidR="00303E40">
        <w:t>v</w:t>
      </w:r>
      <w:r w:rsidR="00303E40">
        <w:t>ered in a reliable manner.</w:t>
      </w:r>
    </w:p>
    <w:p w:rsidR="00135521" w:rsidRDefault="00135521" w:rsidP="00332873">
      <w:pPr>
        <w:spacing w:before="60" w:after="60"/>
      </w:pPr>
      <w:r>
        <w:t>Full benefits and support for the technology may not however be realized until e</w:t>
      </w:r>
      <w:r w:rsidR="00815126">
        <w:t xml:space="preserve">lectronic </w:t>
      </w:r>
      <w:r>
        <w:t xml:space="preserve">signatures, </w:t>
      </w:r>
      <w:r w:rsidR="00815126">
        <w:t>integr</w:t>
      </w:r>
      <w:r w:rsidR="00815126">
        <w:t>a</w:t>
      </w:r>
      <w:r w:rsidR="00815126">
        <w:t xml:space="preserve">tion into other </w:t>
      </w:r>
      <w:proofErr w:type="spellStart"/>
      <w:r w:rsidR="00815126">
        <w:t>eHealth</w:t>
      </w:r>
      <w:proofErr w:type="spellEnd"/>
      <w:r w:rsidR="00815126">
        <w:t xml:space="preserve"> systems, and </w:t>
      </w:r>
      <w:r>
        <w:t xml:space="preserve">connectivity into dispensing </w:t>
      </w:r>
      <w:r w:rsidR="00815126">
        <w:t xml:space="preserve">pharmacy </w:t>
      </w:r>
      <w:r>
        <w:t xml:space="preserve">systems are in place </w:t>
      </w:r>
      <w:r w:rsidR="009355E2">
        <w:t>[13]</w:t>
      </w:r>
      <w:r>
        <w:t>.</w:t>
      </w:r>
      <w:r w:rsidR="00815126">
        <w:t xml:space="preserve"> While these issues were raised in qualitative comments, we had not included them in our research model and future research may wish to incorporate these considerations more explicitly.</w:t>
      </w:r>
    </w:p>
    <w:p w:rsidR="008E54AB" w:rsidRDefault="008E54AB" w:rsidP="00332873">
      <w:pPr>
        <w:spacing w:before="60" w:after="60"/>
      </w:pPr>
      <w:r>
        <w:t xml:space="preserve">Future research should consider </w:t>
      </w:r>
      <w:r w:rsidR="0000253B">
        <w:t xml:space="preserve">the hardware platforms, e.g. tablet </w:t>
      </w:r>
      <w:proofErr w:type="spellStart"/>
      <w:r w:rsidR="0000253B">
        <w:t>vs</w:t>
      </w:r>
      <w:proofErr w:type="spellEnd"/>
      <w:r w:rsidR="0000253B">
        <w:t xml:space="preserve"> desktop, most supportive of use.</w:t>
      </w:r>
      <w:r w:rsidR="00815126">
        <w:t xml:space="preserve"> Moreover, o</w:t>
      </w:r>
      <w:r>
        <w:t>ur performance expectancy scale focused mostly on productivity benefits to the physician. Future work should focus on physician perceptions of benefits e.g. to p</w:t>
      </w:r>
      <w:r>
        <w:t>a</w:t>
      </w:r>
      <w:r w:rsidR="00815126">
        <w:t xml:space="preserve">tient’s experience. Impact studies should be undertaken to confirm </w:t>
      </w:r>
      <w:r w:rsidR="00B4062F">
        <w:t>the technology’</w:t>
      </w:r>
      <w:r>
        <w:t>s potential to improve the saf</w:t>
      </w:r>
      <w:r>
        <w:t>e</w:t>
      </w:r>
      <w:r>
        <w:t>ty of the scripting</w:t>
      </w:r>
      <w:r w:rsidR="00815126">
        <w:t xml:space="preserve"> process</w:t>
      </w:r>
      <w:r>
        <w:t>.</w:t>
      </w:r>
    </w:p>
    <w:p w:rsidR="008E54AB" w:rsidRPr="008E54AB" w:rsidRDefault="00815126" w:rsidP="00332873">
      <w:pPr>
        <w:spacing w:before="60" w:after="60"/>
      </w:pPr>
      <w:r>
        <w:t xml:space="preserve">Our study was limited in a number of respects. </w:t>
      </w:r>
      <w:r w:rsidR="008E54AB">
        <w:t>The sampling frame was constructed and thus the general</w:t>
      </w:r>
      <w:r w:rsidR="008E54AB">
        <w:t>i</w:t>
      </w:r>
      <w:r w:rsidR="008E54AB">
        <w:t>zabil</w:t>
      </w:r>
      <w:r>
        <w:t xml:space="preserve">ity </w:t>
      </w:r>
      <w:r w:rsidR="008E54AB">
        <w:t>of the find</w:t>
      </w:r>
      <w:r>
        <w:t>ings may be compromised</w:t>
      </w:r>
      <w:r w:rsidR="008E54AB">
        <w:t xml:space="preserve">. </w:t>
      </w:r>
      <w:r>
        <w:t>Moreover, our focus on physicians with email addresses and the use of an online rather than paper-based survey acted as a partial control for computer literacy and PC exper</w:t>
      </w:r>
      <w:r>
        <w:t>i</w:t>
      </w:r>
      <w:r>
        <w:t xml:space="preserve">ence that might </w:t>
      </w:r>
      <w:r w:rsidR="00332873">
        <w:t>bias our findings with regards to the a</w:t>
      </w:r>
      <w:r w:rsidR="00332873">
        <w:t>c</w:t>
      </w:r>
      <w:r w:rsidR="00332873">
        <w:t>ceptance of e-prescribing. R</w:t>
      </w:r>
      <w:r>
        <w:t>esults are less generalizable to physician groups with</w:t>
      </w:r>
      <w:r w:rsidR="00332873">
        <w:t xml:space="preserve">out email and </w:t>
      </w:r>
      <w:r>
        <w:t>little computer experience.</w:t>
      </w:r>
      <w:r w:rsidR="00332873">
        <w:t xml:space="preserve"> </w:t>
      </w:r>
      <w:r>
        <w:t>The c</w:t>
      </w:r>
      <w:r w:rsidR="008E54AB">
        <w:t xml:space="preserve">ross-sectional nature of data collection </w:t>
      </w:r>
      <w:r>
        <w:t xml:space="preserve">also prevents us from drawing any causal inferences with respect to the observed correlations. </w:t>
      </w:r>
    </w:p>
    <w:p w:rsidR="00392AFA" w:rsidRPr="00F87CFA" w:rsidRDefault="00392AFA" w:rsidP="005C6FF5">
      <w:pPr>
        <w:pStyle w:val="Heading1"/>
      </w:pPr>
      <w:r w:rsidRPr="00F87CFA">
        <w:t>References</w:t>
      </w:r>
    </w:p>
    <w:p w:rsidR="007C568E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6B1D97">
        <w:rPr>
          <w:lang w:val="en-ZA"/>
        </w:rPr>
        <w:t>Eslami</w:t>
      </w:r>
      <w:proofErr w:type="spellEnd"/>
      <w:r w:rsidRPr="006B1D97">
        <w:rPr>
          <w:lang w:val="en-ZA"/>
        </w:rPr>
        <w:t>, S</w:t>
      </w:r>
      <w:r>
        <w:rPr>
          <w:lang w:val="en-ZA"/>
        </w:rPr>
        <w:t>,</w:t>
      </w:r>
      <w:r w:rsidRPr="006B1D97">
        <w:rPr>
          <w:lang w:val="en-ZA"/>
        </w:rPr>
        <w:t xml:space="preserve"> Abu-Hanna, A</w:t>
      </w:r>
      <w:r>
        <w:rPr>
          <w:lang w:val="en-ZA"/>
        </w:rPr>
        <w:t xml:space="preserve">, and </w:t>
      </w:r>
      <w:r w:rsidRPr="006B1D97">
        <w:rPr>
          <w:lang w:val="en-ZA"/>
        </w:rPr>
        <w:t xml:space="preserve">de Keizer, NF.  </w:t>
      </w:r>
      <w:r w:rsidRPr="003F08A1">
        <w:rPr>
          <w:lang w:val="en-ZA"/>
        </w:rPr>
        <w:t>Evaluation of outpatient computerized physician medication order entry systems: a systematic review. J Am Med Inform Assn 2007: 14: 400-06.</w:t>
      </w:r>
    </w:p>
    <w:p w:rsidR="007C568E" w:rsidRPr="003F08A1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3F08A1">
        <w:rPr>
          <w:lang w:val="en-ZA"/>
        </w:rPr>
        <w:t>Halamka</w:t>
      </w:r>
      <w:proofErr w:type="spellEnd"/>
      <w:r w:rsidRPr="003F08A1">
        <w:rPr>
          <w:lang w:val="en-ZA"/>
        </w:rPr>
        <w:t xml:space="preserve">, J, </w:t>
      </w:r>
      <w:proofErr w:type="spellStart"/>
      <w:r w:rsidRPr="003F08A1">
        <w:rPr>
          <w:lang w:val="en-ZA"/>
        </w:rPr>
        <w:t>Aranow</w:t>
      </w:r>
      <w:proofErr w:type="spellEnd"/>
      <w:r w:rsidRPr="003F08A1">
        <w:rPr>
          <w:lang w:val="en-ZA"/>
        </w:rPr>
        <w:t xml:space="preserve">, M, </w:t>
      </w:r>
      <w:proofErr w:type="spellStart"/>
      <w:r w:rsidRPr="003F08A1">
        <w:rPr>
          <w:lang w:val="en-ZA"/>
        </w:rPr>
        <w:t>Ascenzo</w:t>
      </w:r>
      <w:proofErr w:type="spellEnd"/>
      <w:r w:rsidRPr="003F08A1">
        <w:rPr>
          <w:lang w:val="en-ZA"/>
        </w:rPr>
        <w:t>, C, et al. E-Prescribing collaboration in Massachusetts: early e</w:t>
      </w:r>
      <w:r w:rsidRPr="003F08A1">
        <w:rPr>
          <w:lang w:val="en-ZA"/>
        </w:rPr>
        <w:t>x</w:t>
      </w:r>
      <w:r w:rsidRPr="003F08A1">
        <w:rPr>
          <w:lang w:val="en-ZA"/>
        </w:rPr>
        <w:t>periences from regional prescribing projects. J Am Med Inform Assn 2006: 13(3): 239-44.</w:t>
      </w:r>
    </w:p>
    <w:p w:rsidR="007C568E" w:rsidRPr="006B1D9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6B1D97">
        <w:rPr>
          <w:lang w:val="en-ZA"/>
        </w:rPr>
        <w:t>Tamblyn</w:t>
      </w:r>
      <w:proofErr w:type="spellEnd"/>
      <w:r w:rsidRPr="006B1D97">
        <w:rPr>
          <w:lang w:val="en-ZA"/>
        </w:rPr>
        <w:t>, R</w:t>
      </w:r>
      <w:r>
        <w:rPr>
          <w:lang w:val="en-ZA"/>
        </w:rPr>
        <w:t xml:space="preserve">, </w:t>
      </w:r>
      <w:r w:rsidRPr="006B1D97">
        <w:rPr>
          <w:lang w:val="en-ZA"/>
        </w:rPr>
        <w:t>Huang, A</w:t>
      </w:r>
      <w:r>
        <w:rPr>
          <w:lang w:val="en-ZA"/>
        </w:rPr>
        <w:t xml:space="preserve">, </w:t>
      </w:r>
      <w:proofErr w:type="spellStart"/>
      <w:r>
        <w:rPr>
          <w:lang w:val="en-ZA"/>
        </w:rPr>
        <w:t>Kawasumi</w:t>
      </w:r>
      <w:proofErr w:type="spellEnd"/>
      <w:r>
        <w:rPr>
          <w:lang w:val="en-ZA"/>
        </w:rPr>
        <w:t>, Y,</w:t>
      </w:r>
      <w:r w:rsidRPr="006B1D97">
        <w:rPr>
          <w:lang w:val="en-ZA"/>
        </w:rPr>
        <w:t xml:space="preserve"> </w:t>
      </w:r>
      <w:r>
        <w:rPr>
          <w:lang w:val="en-ZA"/>
        </w:rPr>
        <w:t xml:space="preserve">et al. </w:t>
      </w:r>
      <w:r w:rsidRPr="006B1D97">
        <w:rPr>
          <w:lang w:val="en-ZA"/>
        </w:rPr>
        <w:t>The d</w:t>
      </w:r>
      <w:r w:rsidRPr="006B1D97">
        <w:rPr>
          <w:lang w:val="en-ZA"/>
        </w:rPr>
        <w:t>e</w:t>
      </w:r>
      <w:r w:rsidRPr="006B1D97">
        <w:rPr>
          <w:lang w:val="en-ZA"/>
        </w:rPr>
        <w:t>velopment and evaluation of an integrated electronic prescribing and drug management system for primary care. J</w:t>
      </w:r>
      <w:r>
        <w:rPr>
          <w:lang w:val="en-ZA"/>
        </w:rPr>
        <w:t xml:space="preserve"> Am Med Inform Assn 2006: 13(2):148-</w:t>
      </w:r>
      <w:r w:rsidRPr="006B1D97">
        <w:rPr>
          <w:lang w:val="en-ZA"/>
        </w:rPr>
        <w:t>59.</w:t>
      </w:r>
    </w:p>
    <w:p w:rsidR="007C568E" w:rsidRDefault="007C568E" w:rsidP="007C568E">
      <w:pPr>
        <w:pStyle w:val="Reference"/>
        <w:ind w:left="283" w:firstLine="0"/>
        <w:rPr>
          <w:lang w:val="en-ZA"/>
        </w:rPr>
      </w:pP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gramStart"/>
      <w:r w:rsidRPr="006B1D97">
        <w:rPr>
          <w:lang w:val="en-ZA"/>
        </w:rPr>
        <w:lastRenderedPageBreak/>
        <w:t>van</w:t>
      </w:r>
      <w:proofErr w:type="gramEnd"/>
      <w:r w:rsidRPr="006B1D97">
        <w:rPr>
          <w:lang w:val="en-ZA"/>
        </w:rPr>
        <w:t xml:space="preserve"> </w:t>
      </w:r>
      <w:proofErr w:type="spellStart"/>
      <w:r w:rsidRPr="006B1D97">
        <w:rPr>
          <w:lang w:val="en-ZA"/>
        </w:rPr>
        <w:t>der</w:t>
      </w:r>
      <w:proofErr w:type="spellEnd"/>
      <w:r w:rsidRPr="006B1D97">
        <w:rPr>
          <w:lang w:val="en-ZA"/>
        </w:rPr>
        <w:t xml:space="preserve"> </w:t>
      </w:r>
      <w:proofErr w:type="spellStart"/>
      <w:r w:rsidRPr="006B1D97">
        <w:rPr>
          <w:lang w:val="en-ZA"/>
        </w:rPr>
        <w:t>Sijs</w:t>
      </w:r>
      <w:proofErr w:type="spellEnd"/>
      <w:r w:rsidRPr="006B1D97">
        <w:rPr>
          <w:lang w:val="en-ZA"/>
        </w:rPr>
        <w:t>, H</w:t>
      </w:r>
      <w:r>
        <w:rPr>
          <w:lang w:val="en-ZA"/>
        </w:rPr>
        <w:t xml:space="preserve">, </w:t>
      </w:r>
      <w:proofErr w:type="spellStart"/>
      <w:r w:rsidRPr="006B1D97">
        <w:rPr>
          <w:lang w:val="en-ZA"/>
        </w:rPr>
        <w:t>Aarts</w:t>
      </w:r>
      <w:proofErr w:type="spellEnd"/>
      <w:r w:rsidRPr="006B1D97">
        <w:rPr>
          <w:lang w:val="en-ZA"/>
        </w:rPr>
        <w:t>, J</w:t>
      </w:r>
      <w:r>
        <w:rPr>
          <w:lang w:val="en-ZA"/>
        </w:rPr>
        <w:t xml:space="preserve">, </w:t>
      </w:r>
      <w:proofErr w:type="spellStart"/>
      <w:r w:rsidRPr="006B1D97">
        <w:rPr>
          <w:lang w:val="en-ZA"/>
        </w:rPr>
        <w:t>Vulto</w:t>
      </w:r>
      <w:proofErr w:type="spellEnd"/>
      <w:r w:rsidRPr="006B1D97">
        <w:rPr>
          <w:lang w:val="en-ZA"/>
        </w:rPr>
        <w:t>, A</w:t>
      </w:r>
      <w:r>
        <w:rPr>
          <w:lang w:val="en-ZA"/>
        </w:rPr>
        <w:t>, and</w:t>
      </w:r>
      <w:r w:rsidRPr="006B1D97">
        <w:rPr>
          <w:lang w:val="en-ZA"/>
        </w:rPr>
        <w:t xml:space="preserve"> Berg, M.  Overriding of drug safety alerts in computerized ph</w:t>
      </w:r>
      <w:r w:rsidRPr="006B1D97">
        <w:rPr>
          <w:lang w:val="en-ZA"/>
        </w:rPr>
        <w:t>y</w:t>
      </w:r>
      <w:r w:rsidRPr="006B1D97">
        <w:rPr>
          <w:lang w:val="en-ZA"/>
        </w:rPr>
        <w:t>sician order entry.  J</w:t>
      </w:r>
      <w:r>
        <w:rPr>
          <w:lang w:val="en-ZA"/>
        </w:rPr>
        <w:t xml:space="preserve"> Am Med Inform Assn 2006: </w:t>
      </w:r>
      <w:r w:rsidRPr="006B1D97">
        <w:rPr>
          <w:lang w:val="en-ZA"/>
        </w:rPr>
        <w:t>13</w:t>
      </w:r>
      <w:r>
        <w:rPr>
          <w:lang w:val="en-ZA"/>
        </w:rPr>
        <w:t>:</w:t>
      </w:r>
      <w:r w:rsidR="003360EC">
        <w:rPr>
          <w:lang w:val="en-ZA"/>
        </w:rPr>
        <w:t xml:space="preserve"> </w:t>
      </w:r>
      <w:r w:rsidRPr="00993E57">
        <w:rPr>
          <w:lang w:val="en-ZA"/>
        </w:rPr>
        <w:t>138-47.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r w:rsidRPr="00993E57">
        <w:rPr>
          <w:lang w:val="en-ZA"/>
        </w:rPr>
        <w:t xml:space="preserve">Johnson, KB, Ho, YX, </w:t>
      </w:r>
      <w:proofErr w:type="spellStart"/>
      <w:r w:rsidRPr="00993E57">
        <w:rPr>
          <w:lang w:val="en-ZA"/>
        </w:rPr>
        <w:t>Cala</w:t>
      </w:r>
      <w:proofErr w:type="spellEnd"/>
      <w:r w:rsidRPr="00993E57">
        <w:rPr>
          <w:lang w:val="en-ZA"/>
        </w:rPr>
        <w:t>, CM, and Davidson, C.  Showing your work: impact of annotating electronic prescriptions with decision support results.  J Biomed Inform 2010: 43(2): 321-5.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r w:rsidRPr="00993E57">
        <w:rPr>
          <w:lang w:val="en-ZA"/>
        </w:rPr>
        <w:t xml:space="preserve">Smith, AD. Barriers to accepting e-prescribing in the USA.  </w:t>
      </w:r>
      <w:proofErr w:type="spellStart"/>
      <w:r w:rsidRPr="00993E57">
        <w:rPr>
          <w:lang w:val="en-ZA"/>
        </w:rPr>
        <w:t>Int</w:t>
      </w:r>
      <w:proofErr w:type="spellEnd"/>
      <w:r w:rsidRPr="00993E57">
        <w:rPr>
          <w:lang w:val="en-ZA"/>
        </w:rPr>
        <w:t xml:space="preserve"> J Health Care Qual </w:t>
      </w:r>
      <w:proofErr w:type="spellStart"/>
      <w:r w:rsidRPr="00993E57">
        <w:rPr>
          <w:lang w:val="en-ZA"/>
        </w:rPr>
        <w:t>Assur</w:t>
      </w:r>
      <w:proofErr w:type="spellEnd"/>
      <w:r w:rsidRPr="00993E57">
        <w:rPr>
          <w:lang w:val="en-ZA"/>
        </w:rPr>
        <w:t xml:space="preserve"> 2006: 19(2): 158-80.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993E57">
        <w:rPr>
          <w:lang w:val="en-ZA"/>
        </w:rPr>
        <w:t>Ammenwerth</w:t>
      </w:r>
      <w:proofErr w:type="spellEnd"/>
      <w:r w:rsidRPr="00993E57">
        <w:rPr>
          <w:lang w:val="en-ZA"/>
        </w:rPr>
        <w:t>, E, Schnell-</w:t>
      </w:r>
      <w:proofErr w:type="spellStart"/>
      <w:r w:rsidRPr="00993E57">
        <w:rPr>
          <w:lang w:val="en-ZA"/>
        </w:rPr>
        <w:t>Inderst</w:t>
      </w:r>
      <w:proofErr w:type="spellEnd"/>
      <w:r w:rsidRPr="00993E57">
        <w:rPr>
          <w:lang w:val="en-ZA"/>
        </w:rPr>
        <w:t xml:space="preserve">, P, </w:t>
      </w:r>
      <w:proofErr w:type="spellStart"/>
      <w:r w:rsidRPr="00993E57">
        <w:rPr>
          <w:lang w:val="en-ZA"/>
        </w:rPr>
        <w:t>Machan</w:t>
      </w:r>
      <w:proofErr w:type="spellEnd"/>
      <w:r w:rsidRPr="00993E57">
        <w:rPr>
          <w:lang w:val="en-ZA"/>
        </w:rPr>
        <w:t>, C, and Siebert, U. The effect of electronic prescribing on medication errors and adverse drug events: a sy</w:t>
      </w:r>
      <w:r w:rsidRPr="00993E57">
        <w:rPr>
          <w:lang w:val="en-ZA"/>
        </w:rPr>
        <w:t>s</w:t>
      </w:r>
      <w:r w:rsidRPr="00993E57">
        <w:rPr>
          <w:lang w:val="en-ZA"/>
        </w:rPr>
        <w:t>tematic review.  J Am Med Inform Assn 2008:  15(5): 585-600.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r w:rsidRPr="00993E57">
        <w:rPr>
          <w:lang w:val="en-ZA"/>
        </w:rPr>
        <w:t xml:space="preserve">Devine, EB, </w:t>
      </w:r>
      <w:proofErr w:type="spellStart"/>
      <w:r w:rsidRPr="00993E57">
        <w:rPr>
          <w:lang w:val="en-ZA"/>
        </w:rPr>
        <w:t>Hollingworth</w:t>
      </w:r>
      <w:proofErr w:type="spellEnd"/>
      <w:r w:rsidRPr="00993E57">
        <w:rPr>
          <w:lang w:val="en-ZA"/>
        </w:rPr>
        <w:t xml:space="preserve">, W, Hansen, </w:t>
      </w:r>
      <w:proofErr w:type="gramStart"/>
      <w:r w:rsidRPr="00993E57">
        <w:rPr>
          <w:lang w:val="en-ZA"/>
        </w:rPr>
        <w:t>RN</w:t>
      </w:r>
      <w:proofErr w:type="gramEnd"/>
      <w:r w:rsidRPr="00993E57">
        <w:rPr>
          <w:lang w:val="en-ZA"/>
        </w:rPr>
        <w:t xml:space="preserve"> et al. Ele</w:t>
      </w:r>
      <w:r w:rsidRPr="00993E57">
        <w:rPr>
          <w:lang w:val="en-ZA"/>
        </w:rPr>
        <w:t>c</w:t>
      </w:r>
      <w:r w:rsidRPr="00993E57">
        <w:rPr>
          <w:lang w:val="en-ZA"/>
        </w:rPr>
        <w:t xml:space="preserve">tronic prescribing at the point of care: a time–motion study in the primary care setting.  Health </w:t>
      </w:r>
      <w:proofErr w:type="spellStart"/>
      <w:r w:rsidRPr="00993E57">
        <w:rPr>
          <w:lang w:val="en-ZA"/>
        </w:rPr>
        <w:t>Serv</w:t>
      </w:r>
      <w:proofErr w:type="spellEnd"/>
      <w:r w:rsidRPr="00993E57">
        <w:rPr>
          <w:lang w:val="en-ZA"/>
        </w:rPr>
        <w:t xml:space="preserve"> Res 2010: 45(1): 152-71.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993E57">
        <w:rPr>
          <w:lang w:val="en-ZA"/>
        </w:rPr>
        <w:t>Kaushal</w:t>
      </w:r>
      <w:proofErr w:type="spellEnd"/>
      <w:r w:rsidRPr="00993E57">
        <w:rPr>
          <w:lang w:val="en-ZA"/>
        </w:rPr>
        <w:t xml:space="preserve">, R, Kern, L, </w:t>
      </w:r>
      <w:proofErr w:type="spellStart"/>
      <w:r w:rsidRPr="00993E57">
        <w:rPr>
          <w:lang w:val="en-ZA"/>
        </w:rPr>
        <w:t>Barrón</w:t>
      </w:r>
      <w:proofErr w:type="spellEnd"/>
      <w:r w:rsidRPr="00993E57">
        <w:rPr>
          <w:lang w:val="en-ZA"/>
        </w:rPr>
        <w:t xml:space="preserve">, Y, </w:t>
      </w:r>
      <w:proofErr w:type="spellStart"/>
      <w:r w:rsidRPr="00993E57">
        <w:rPr>
          <w:lang w:val="en-ZA"/>
        </w:rPr>
        <w:t>Quaresimo</w:t>
      </w:r>
      <w:proofErr w:type="spellEnd"/>
      <w:r w:rsidRPr="00993E57">
        <w:rPr>
          <w:lang w:val="en-ZA"/>
        </w:rPr>
        <w:t>, J, and Abramson, E.  Electronic prescribing improves med</w:t>
      </w:r>
      <w:r w:rsidRPr="00993E57">
        <w:rPr>
          <w:lang w:val="en-ZA"/>
        </w:rPr>
        <w:t>i</w:t>
      </w:r>
      <w:r w:rsidRPr="00993E57">
        <w:rPr>
          <w:lang w:val="en-ZA"/>
        </w:rPr>
        <w:t>cation safety in community-based office practices.  J Gen Intern Med 2010: 25(6): 530-36.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993E57">
        <w:rPr>
          <w:lang w:val="en-ZA"/>
        </w:rPr>
        <w:t>Mäkinen</w:t>
      </w:r>
      <w:proofErr w:type="spellEnd"/>
      <w:r w:rsidRPr="00993E57">
        <w:rPr>
          <w:lang w:val="en-ZA"/>
        </w:rPr>
        <w:t xml:space="preserve">, M., </w:t>
      </w:r>
      <w:proofErr w:type="spellStart"/>
      <w:r w:rsidRPr="00993E57">
        <w:rPr>
          <w:lang w:val="en-ZA"/>
        </w:rPr>
        <w:t>Forsström</w:t>
      </w:r>
      <w:proofErr w:type="spellEnd"/>
      <w:r w:rsidRPr="00993E57">
        <w:rPr>
          <w:lang w:val="en-ZA"/>
        </w:rPr>
        <w:t xml:space="preserve">, J., </w:t>
      </w:r>
      <w:proofErr w:type="spellStart"/>
      <w:r w:rsidRPr="00993E57">
        <w:rPr>
          <w:lang w:val="en-ZA"/>
        </w:rPr>
        <w:t>Äärimaa</w:t>
      </w:r>
      <w:proofErr w:type="spellEnd"/>
      <w:r w:rsidRPr="00993E57">
        <w:rPr>
          <w:lang w:val="en-ZA"/>
        </w:rPr>
        <w:t xml:space="preserve">, M., and </w:t>
      </w:r>
      <w:proofErr w:type="spellStart"/>
      <w:r w:rsidRPr="00993E57">
        <w:rPr>
          <w:lang w:val="en-ZA"/>
        </w:rPr>
        <w:t>Rautava</w:t>
      </w:r>
      <w:proofErr w:type="spellEnd"/>
      <w:r w:rsidRPr="00993E57">
        <w:rPr>
          <w:lang w:val="en-ZA"/>
        </w:rPr>
        <w:t xml:space="preserve">, P. A European survey on the possibilities and obstacles of electronic prescriptions in cross-border healthcare. </w:t>
      </w:r>
      <w:proofErr w:type="spellStart"/>
      <w:r w:rsidRPr="00993E57">
        <w:rPr>
          <w:lang w:val="en-ZA"/>
        </w:rPr>
        <w:t>Telemed</w:t>
      </w:r>
      <w:proofErr w:type="spellEnd"/>
      <w:r w:rsidRPr="00993E57">
        <w:rPr>
          <w:lang w:val="en-ZA"/>
        </w:rPr>
        <w:t xml:space="preserve"> J E Health 2006: 12(4): 484-9.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gramStart"/>
      <w:r w:rsidRPr="00993E57">
        <w:rPr>
          <w:lang w:val="en-ZA"/>
        </w:rPr>
        <w:t>Chin,</w:t>
      </w:r>
      <w:proofErr w:type="gramEnd"/>
      <w:r w:rsidRPr="00993E57">
        <w:rPr>
          <w:lang w:val="en-ZA"/>
        </w:rPr>
        <w:t xml:space="preserve"> T. Five obstacles to e-prescribing.  </w:t>
      </w:r>
      <w:proofErr w:type="gramStart"/>
      <w:r w:rsidRPr="00993E57">
        <w:rPr>
          <w:lang w:val="en-ZA"/>
        </w:rPr>
        <w:t>A</w:t>
      </w:r>
      <w:proofErr w:type="gramEnd"/>
      <w:r w:rsidRPr="00993E57">
        <w:rPr>
          <w:lang w:val="en-ZA"/>
        </w:rPr>
        <w:t xml:space="preserve"> M News 2003: 46(18): 17.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993E57">
        <w:rPr>
          <w:lang w:val="en-ZA"/>
        </w:rPr>
        <w:t>Crosson</w:t>
      </w:r>
      <w:proofErr w:type="spellEnd"/>
      <w:r w:rsidRPr="00993E57">
        <w:rPr>
          <w:lang w:val="en-ZA"/>
        </w:rPr>
        <w:t xml:space="preserve">, JC, </w:t>
      </w:r>
      <w:proofErr w:type="spellStart"/>
      <w:r w:rsidRPr="00993E57">
        <w:rPr>
          <w:lang w:val="en-ZA"/>
        </w:rPr>
        <w:t>Etz</w:t>
      </w:r>
      <w:proofErr w:type="spellEnd"/>
      <w:r w:rsidRPr="00993E57">
        <w:rPr>
          <w:lang w:val="en-ZA"/>
        </w:rPr>
        <w:t xml:space="preserve">, RS, Wu, S, et al. Meaningful use of electronic prescribing in 5 exemplar primary care practices.  Ann </w:t>
      </w:r>
      <w:proofErr w:type="spellStart"/>
      <w:proofErr w:type="gramStart"/>
      <w:r w:rsidRPr="00993E57">
        <w:rPr>
          <w:lang w:val="en-ZA"/>
        </w:rPr>
        <w:t>Fam</w:t>
      </w:r>
      <w:proofErr w:type="spellEnd"/>
      <w:proofErr w:type="gramEnd"/>
      <w:r w:rsidRPr="00993E57">
        <w:rPr>
          <w:lang w:val="en-ZA"/>
        </w:rPr>
        <w:t xml:space="preserve"> Med 2011: 9: 392-97.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993E57">
        <w:rPr>
          <w:lang w:val="en-ZA"/>
        </w:rPr>
        <w:t>Mäkinen</w:t>
      </w:r>
      <w:proofErr w:type="spellEnd"/>
      <w:r w:rsidRPr="00993E57">
        <w:rPr>
          <w:lang w:val="en-ZA"/>
        </w:rPr>
        <w:t xml:space="preserve">, M, </w:t>
      </w:r>
      <w:proofErr w:type="spellStart"/>
      <w:r w:rsidRPr="00993E57">
        <w:rPr>
          <w:lang w:val="en-ZA"/>
        </w:rPr>
        <w:t>Rautava</w:t>
      </w:r>
      <w:proofErr w:type="spellEnd"/>
      <w:r w:rsidRPr="00993E57">
        <w:rPr>
          <w:lang w:val="en-ZA"/>
        </w:rPr>
        <w:t xml:space="preserve">, P, </w:t>
      </w:r>
      <w:proofErr w:type="spellStart"/>
      <w:r w:rsidRPr="00993E57">
        <w:rPr>
          <w:lang w:val="en-ZA"/>
        </w:rPr>
        <w:t>Forsström</w:t>
      </w:r>
      <w:proofErr w:type="spellEnd"/>
      <w:r w:rsidRPr="00993E57">
        <w:rPr>
          <w:lang w:val="en-ZA"/>
        </w:rPr>
        <w:t xml:space="preserve">, J, and </w:t>
      </w:r>
      <w:proofErr w:type="spellStart"/>
      <w:r w:rsidRPr="00993E57">
        <w:rPr>
          <w:lang w:val="en-ZA"/>
        </w:rPr>
        <w:t>Äärimaa</w:t>
      </w:r>
      <w:proofErr w:type="spellEnd"/>
      <w:r w:rsidRPr="00993E57">
        <w:rPr>
          <w:lang w:val="en-ZA"/>
        </w:rPr>
        <w:t xml:space="preserve">, M. Electronic prescriptions are slowly spreading in the European Union.  </w:t>
      </w:r>
      <w:proofErr w:type="spellStart"/>
      <w:r w:rsidRPr="00993E57">
        <w:rPr>
          <w:lang w:val="en-ZA"/>
        </w:rPr>
        <w:t>Telemed</w:t>
      </w:r>
      <w:proofErr w:type="spellEnd"/>
      <w:r w:rsidRPr="00993E57">
        <w:rPr>
          <w:lang w:val="en-ZA"/>
        </w:rPr>
        <w:t xml:space="preserve"> J E Health 2011: 17(3): 217-22.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proofErr w:type="spellStart"/>
      <w:r w:rsidRPr="00993E57">
        <w:rPr>
          <w:lang w:val="en-ZA"/>
        </w:rPr>
        <w:t>Venkatesh</w:t>
      </w:r>
      <w:proofErr w:type="spellEnd"/>
      <w:r w:rsidRPr="00993E57">
        <w:rPr>
          <w:lang w:val="en-ZA"/>
        </w:rPr>
        <w:t>, V, Morris, MG, Davis, GB, and Davis, FD.  User acceptance of information techno</w:t>
      </w:r>
      <w:r w:rsidRPr="00993E57">
        <w:rPr>
          <w:lang w:val="en-ZA"/>
        </w:rPr>
        <w:t>l</w:t>
      </w:r>
      <w:r w:rsidRPr="00993E57">
        <w:rPr>
          <w:lang w:val="en-ZA"/>
        </w:rPr>
        <w:t>ogy: toward a unified view.  MIS Quart 2003: 27(3): 425-78.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r w:rsidRPr="00993E57">
        <w:t xml:space="preserve">Van </w:t>
      </w:r>
      <w:r w:rsidRPr="00993E57">
        <w:rPr>
          <w:lang w:val="en-ZA"/>
        </w:rPr>
        <w:t>Belle, JP. Mobile technology adoption by doctors in public healthcare in the Western Cape, South Africa. In: ECIS 2006 Proceedings, 2006; P</w:t>
      </w:r>
      <w:r w:rsidRPr="00993E57">
        <w:rPr>
          <w:lang w:val="en-ZA"/>
        </w:rPr>
        <w:t>a</w:t>
      </w:r>
      <w:r w:rsidRPr="00993E57">
        <w:rPr>
          <w:lang w:val="en-ZA"/>
        </w:rPr>
        <w:t>per 102.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rPr>
          <w:lang w:val="en-ZA"/>
        </w:rPr>
      </w:pPr>
      <w:r w:rsidRPr="00993E57">
        <w:rPr>
          <w:lang w:val="en-ZA"/>
        </w:rPr>
        <w:t>Jones, J. The adoption of internet technology among general practitioners in Kwazulu-Natal. MBA Dissertation: Durban Institute of Technology, 2008.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proofErr w:type="spellStart"/>
      <w:r w:rsidRPr="00993E57">
        <w:rPr>
          <w:lang w:val="en-ZA"/>
        </w:rPr>
        <w:t>Venkatesh</w:t>
      </w:r>
      <w:proofErr w:type="spellEnd"/>
      <w:r w:rsidRPr="00993E57">
        <w:rPr>
          <w:lang w:val="en-ZA"/>
        </w:rPr>
        <w:t xml:space="preserve">, V, Thong, JYL, and </w:t>
      </w:r>
      <w:proofErr w:type="spellStart"/>
      <w:r w:rsidRPr="00993E57">
        <w:rPr>
          <w:lang w:val="en-ZA"/>
        </w:rPr>
        <w:t>Xu</w:t>
      </w:r>
      <w:proofErr w:type="spellEnd"/>
      <w:r w:rsidRPr="00993E57">
        <w:rPr>
          <w:lang w:val="en-ZA"/>
        </w:rPr>
        <w:t>, X. Co</w:t>
      </w:r>
      <w:r w:rsidRPr="00993E57">
        <w:rPr>
          <w:lang w:val="en-ZA"/>
        </w:rPr>
        <w:t>n</w:t>
      </w:r>
      <w:r w:rsidRPr="00993E57">
        <w:rPr>
          <w:lang w:val="en-ZA"/>
        </w:rPr>
        <w:t>sumer acceptance and use of information technology: extending the unified theory of acceptance and use of technology.  MIS Quart 2012: 36(1): 157-78.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r w:rsidRPr="00993E57">
        <w:rPr>
          <w:lang w:val="en-ZA"/>
        </w:rPr>
        <w:t>Chang, I, Hwang, H, Hung, W, and Li, Y. Phys</w:t>
      </w:r>
      <w:r w:rsidRPr="00993E57">
        <w:rPr>
          <w:lang w:val="en-ZA"/>
        </w:rPr>
        <w:t>i</w:t>
      </w:r>
      <w:r w:rsidRPr="00993E57">
        <w:rPr>
          <w:lang w:val="en-ZA"/>
        </w:rPr>
        <w:t xml:space="preserve">cians’ acceptance of pharmacokinetics-based clinical decision support systems. Expert </w:t>
      </w:r>
      <w:proofErr w:type="spellStart"/>
      <w:r w:rsidRPr="00993E57">
        <w:rPr>
          <w:lang w:val="en-ZA"/>
        </w:rPr>
        <w:t>Syst</w:t>
      </w:r>
      <w:proofErr w:type="spellEnd"/>
      <w:r w:rsidRPr="00993E57">
        <w:rPr>
          <w:lang w:val="en-ZA"/>
        </w:rPr>
        <w:t xml:space="preserve"> </w:t>
      </w:r>
      <w:proofErr w:type="spellStart"/>
      <w:r w:rsidRPr="00993E57">
        <w:rPr>
          <w:lang w:val="en-ZA"/>
        </w:rPr>
        <w:t>Appl</w:t>
      </w:r>
      <w:proofErr w:type="spellEnd"/>
      <w:r w:rsidRPr="00993E57">
        <w:rPr>
          <w:lang w:val="en-ZA"/>
        </w:rPr>
        <w:t xml:space="preserve"> 2007: 33: 296-303.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proofErr w:type="spellStart"/>
      <w:r w:rsidRPr="00993E57">
        <w:t>Kijsanayotin</w:t>
      </w:r>
      <w:proofErr w:type="spellEnd"/>
      <w:r w:rsidRPr="00993E57">
        <w:t xml:space="preserve">, B, </w:t>
      </w:r>
      <w:proofErr w:type="spellStart"/>
      <w:r w:rsidRPr="00993E57">
        <w:t>Pannarunothai</w:t>
      </w:r>
      <w:proofErr w:type="spellEnd"/>
      <w:r w:rsidRPr="00993E57">
        <w:t xml:space="preserve">, S, </w:t>
      </w:r>
      <w:proofErr w:type="spellStart"/>
      <w:r w:rsidRPr="00993E57">
        <w:t>Speedie</w:t>
      </w:r>
      <w:proofErr w:type="spellEnd"/>
      <w:r w:rsidRPr="00993E57">
        <w:t xml:space="preserve">, </w:t>
      </w:r>
      <w:proofErr w:type="gramStart"/>
      <w:r w:rsidRPr="00993E57">
        <w:t>SM</w:t>
      </w:r>
      <w:proofErr w:type="gramEnd"/>
      <w:r w:rsidRPr="00993E57">
        <w:t>. Factors influencing health information technology adoption in Thailand’s community health centers: a</w:t>
      </w:r>
      <w:r w:rsidRPr="00993E57">
        <w:t>p</w:t>
      </w:r>
      <w:r w:rsidRPr="00993E57">
        <w:t xml:space="preserve">plying the UTAUT model. </w:t>
      </w:r>
      <w:proofErr w:type="spellStart"/>
      <w:r w:rsidRPr="00993E57">
        <w:t>Int</w:t>
      </w:r>
      <w:proofErr w:type="spellEnd"/>
      <w:r w:rsidRPr="00993E57">
        <w:t xml:space="preserve"> J Med Inform 2009: 28: 404-16.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proofErr w:type="spellStart"/>
      <w:r w:rsidRPr="00993E57">
        <w:rPr>
          <w:lang w:val="en-ZA"/>
        </w:rPr>
        <w:t>Cilliers</w:t>
      </w:r>
      <w:proofErr w:type="spellEnd"/>
      <w:r w:rsidRPr="00993E57">
        <w:rPr>
          <w:lang w:val="en-ZA"/>
        </w:rPr>
        <w:t xml:space="preserve">, L, and </w:t>
      </w:r>
      <w:proofErr w:type="spellStart"/>
      <w:r w:rsidRPr="00993E57">
        <w:rPr>
          <w:lang w:val="en-ZA"/>
        </w:rPr>
        <w:t>Flowerday</w:t>
      </w:r>
      <w:proofErr w:type="spellEnd"/>
      <w:r w:rsidRPr="00993E57">
        <w:rPr>
          <w:lang w:val="en-ZA"/>
        </w:rPr>
        <w:t xml:space="preserve">, S. Health information systems to improve health care: a telemedicine case </w:t>
      </w:r>
      <w:r w:rsidRPr="00993E57">
        <w:rPr>
          <w:lang w:val="en-ZA"/>
        </w:rPr>
        <w:lastRenderedPageBreak/>
        <w:t>study. SA Journal of Information Management 2013: 15(1): art. # 541.</w:t>
      </w:r>
    </w:p>
    <w:p w:rsidR="00D364A3" w:rsidRPr="00993E57" w:rsidRDefault="00D364A3" w:rsidP="007C568E">
      <w:pPr>
        <w:pStyle w:val="Reference"/>
        <w:numPr>
          <w:ilvl w:val="0"/>
          <w:numId w:val="4"/>
        </w:numPr>
      </w:pPr>
      <w:r w:rsidRPr="00993E57">
        <w:rPr>
          <w:lang w:val="en-ZA"/>
        </w:rPr>
        <w:t xml:space="preserve">Wang, CJ, Patel, MH, </w:t>
      </w:r>
      <w:proofErr w:type="spellStart"/>
      <w:r w:rsidRPr="00993E57">
        <w:rPr>
          <w:lang w:val="en-ZA"/>
        </w:rPr>
        <w:t>Schueth</w:t>
      </w:r>
      <w:proofErr w:type="spellEnd"/>
      <w:r w:rsidRPr="00993E57">
        <w:rPr>
          <w:lang w:val="en-ZA"/>
        </w:rPr>
        <w:t xml:space="preserve">, AJ, Bradley, M, Wu, S, </w:t>
      </w:r>
      <w:proofErr w:type="spellStart"/>
      <w:r w:rsidRPr="00993E57">
        <w:rPr>
          <w:lang w:val="en-ZA"/>
        </w:rPr>
        <w:t>Crosson</w:t>
      </w:r>
      <w:proofErr w:type="spellEnd"/>
      <w:r w:rsidRPr="00993E57">
        <w:rPr>
          <w:lang w:val="en-ZA"/>
        </w:rPr>
        <w:t>, JC, Glassman, PA, and Bell, DS. Perceptions of standards-based electronic prescri</w:t>
      </w:r>
      <w:r w:rsidRPr="00993E57">
        <w:rPr>
          <w:lang w:val="en-ZA"/>
        </w:rPr>
        <w:t>b</w:t>
      </w:r>
      <w:r w:rsidRPr="00993E57">
        <w:rPr>
          <w:lang w:val="en-ZA"/>
        </w:rPr>
        <w:t xml:space="preserve">ing systems as implemented in outpatient primary care: a physician survey.  </w:t>
      </w:r>
      <w:hyperlink r:id="rId8" w:history="1">
        <w:r w:rsidRPr="00993E57">
          <w:rPr>
            <w:lang w:val="en-ZA"/>
          </w:rPr>
          <w:t>J Am Med Inform Assn</w:t>
        </w:r>
      </w:hyperlink>
      <w:r w:rsidRPr="00993E57">
        <w:t xml:space="preserve"> 2009:</w:t>
      </w:r>
      <w:r w:rsidRPr="00993E57">
        <w:rPr>
          <w:lang w:val="en-ZA"/>
        </w:rPr>
        <w:t xml:space="preserve">  16(4): 493-502.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r w:rsidRPr="00993E57">
        <w:t>Davis, FD. Perceived usefulness, perceived ease of use, and user acceptance of information technology.  MIS Quart 1989: 13(3): 319-40.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  <w:ind w:left="0" w:firstLine="0"/>
      </w:pPr>
      <w:r w:rsidRPr="00993E57">
        <w:rPr>
          <w:lang w:val="en-ZA"/>
        </w:rPr>
        <w:t>Holden, RJ, and Karsh, BT. The technology a</w:t>
      </w:r>
      <w:r w:rsidRPr="00993E57">
        <w:rPr>
          <w:lang w:val="en-ZA"/>
        </w:rPr>
        <w:t>c</w:t>
      </w:r>
      <w:r w:rsidRPr="00993E57">
        <w:rPr>
          <w:lang w:val="en-ZA"/>
        </w:rPr>
        <w:t>ceptance model: its past and its future in health care. J Biomed Inform 2010: 43(1): 159-72.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r w:rsidRPr="00993E57">
        <w:t xml:space="preserve">McKnight, DH, </w:t>
      </w:r>
      <w:proofErr w:type="spellStart"/>
      <w:r w:rsidRPr="00993E57">
        <w:t>Choudhury</w:t>
      </w:r>
      <w:proofErr w:type="spellEnd"/>
      <w:r w:rsidRPr="00993E57">
        <w:t xml:space="preserve">, V, and </w:t>
      </w:r>
      <w:proofErr w:type="spellStart"/>
      <w:r w:rsidRPr="00993E57">
        <w:t>Kacmar</w:t>
      </w:r>
      <w:proofErr w:type="spellEnd"/>
      <w:r w:rsidRPr="00993E57">
        <w:t xml:space="preserve">, C. Developing and validating trust measures for e-commerce: an integrative typology. Inform </w:t>
      </w:r>
      <w:proofErr w:type="spellStart"/>
      <w:r w:rsidRPr="00993E57">
        <w:t>Syst</w:t>
      </w:r>
      <w:proofErr w:type="spellEnd"/>
      <w:r w:rsidRPr="00993E57">
        <w:t xml:space="preserve"> Res 2002: 13(3): 334-59.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proofErr w:type="spellStart"/>
      <w:r w:rsidRPr="00993E57">
        <w:t>Ajzen</w:t>
      </w:r>
      <w:proofErr w:type="spellEnd"/>
      <w:r w:rsidRPr="00993E57">
        <w:t xml:space="preserve">, I. The theory of planned behavior. Organ </w:t>
      </w:r>
      <w:proofErr w:type="spellStart"/>
      <w:r w:rsidRPr="00993E57">
        <w:t>Behav</w:t>
      </w:r>
      <w:proofErr w:type="spellEnd"/>
      <w:r w:rsidRPr="00993E57">
        <w:t xml:space="preserve"> Hum Dec 1991: 50(2): 179-211.</w:t>
      </w:r>
    </w:p>
    <w:p w:rsidR="007C568E" w:rsidRPr="00993E57" w:rsidRDefault="007C568E" w:rsidP="007C568E">
      <w:pPr>
        <w:pStyle w:val="Reference"/>
        <w:numPr>
          <w:ilvl w:val="0"/>
          <w:numId w:val="4"/>
        </w:numPr>
      </w:pPr>
      <w:r w:rsidRPr="00993E57">
        <w:t xml:space="preserve">Yi, MY, Jackson, JD, Park, JS, and </w:t>
      </w:r>
      <w:proofErr w:type="spellStart"/>
      <w:r w:rsidRPr="00993E57">
        <w:t>Probst</w:t>
      </w:r>
      <w:proofErr w:type="spellEnd"/>
      <w:r w:rsidRPr="00993E57">
        <w:t xml:space="preserve"> JC. Understanding information technology acceptance by individual professionals: toward an integrative view. Inform Manage 2006: 43: 350–63.</w:t>
      </w:r>
    </w:p>
    <w:p w:rsidR="00B5430D" w:rsidRPr="00993E57" w:rsidRDefault="007C568E" w:rsidP="007C568E">
      <w:pPr>
        <w:pStyle w:val="Reference"/>
        <w:numPr>
          <w:ilvl w:val="0"/>
          <w:numId w:val="4"/>
        </w:numPr>
      </w:pPr>
      <w:proofErr w:type="spellStart"/>
      <w:r w:rsidRPr="00993E57">
        <w:t>Garbarino</w:t>
      </w:r>
      <w:proofErr w:type="spellEnd"/>
      <w:r w:rsidRPr="00993E57">
        <w:t>, E, and Johnson, MS. The different roles of satisfaction, trust, and commitment in cu</w:t>
      </w:r>
      <w:r w:rsidRPr="00993E57">
        <w:t>s</w:t>
      </w:r>
      <w:r w:rsidRPr="00993E57">
        <w:t>tomer relationships.  J Marketing 1999: 63(2): 70-87.</w:t>
      </w:r>
    </w:p>
    <w:p w:rsidR="00392AFA" w:rsidRPr="00F87CFA" w:rsidRDefault="003365AF" w:rsidP="005C6FF5">
      <w:pPr>
        <w:pStyle w:val="Heading2"/>
      </w:pPr>
      <w:r>
        <w:t>Address for correspondence</w:t>
      </w:r>
    </w:p>
    <w:p w:rsidR="00C53C61" w:rsidRPr="00E5621E" w:rsidRDefault="009A183E" w:rsidP="00874B6C">
      <w:pPr>
        <w:pStyle w:val="Correspondence"/>
        <w:ind w:left="0" w:firstLine="0"/>
        <w:rPr>
          <w:sz w:val="20"/>
        </w:rPr>
      </w:pPr>
      <w:r>
        <w:rPr>
          <w:sz w:val="20"/>
        </w:rPr>
        <w:t>XXXXXX</w:t>
      </w:r>
    </w:p>
    <w:p w:rsidR="00962B69" w:rsidRPr="00E5621E" w:rsidRDefault="009A183E" w:rsidP="00874B6C">
      <w:pPr>
        <w:pStyle w:val="Correspondence"/>
        <w:ind w:left="0" w:firstLine="0"/>
        <w:rPr>
          <w:sz w:val="20"/>
        </w:rPr>
      </w:pPr>
      <w:r>
        <w:rPr>
          <w:sz w:val="20"/>
        </w:rPr>
        <w:t>XXXXXX</w:t>
      </w:r>
    </w:p>
    <w:p w:rsidR="0050645F" w:rsidRPr="00E5621E" w:rsidRDefault="0050645F" w:rsidP="00874B6C">
      <w:pPr>
        <w:pStyle w:val="Correspondence"/>
        <w:ind w:left="0" w:firstLine="0"/>
        <w:rPr>
          <w:sz w:val="20"/>
        </w:rPr>
      </w:pPr>
    </w:p>
    <w:p w:rsidR="0050645F" w:rsidRDefault="0050645F" w:rsidP="00874B6C">
      <w:pPr>
        <w:pStyle w:val="Correspondence"/>
        <w:ind w:left="0" w:firstLine="0"/>
      </w:pPr>
    </w:p>
    <w:p w:rsidR="0050645F" w:rsidRDefault="0050645F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</w:pPr>
    </w:p>
    <w:p w:rsidR="009355E2" w:rsidRDefault="009355E2" w:rsidP="00874B6C">
      <w:pPr>
        <w:pStyle w:val="Correspondence"/>
        <w:ind w:left="0" w:firstLine="0"/>
        <w:sectPr w:rsidR="009355E2" w:rsidSect="007F64F2">
          <w:type w:val="continuous"/>
          <w:pgSz w:w="11907" w:h="16840" w:code="9"/>
          <w:pgMar w:top="562" w:right="567" w:bottom="562" w:left="567" w:header="0" w:footer="1440" w:gutter="0"/>
          <w:cols w:num="2" w:space="706"/>
          <w:noEndnote/>
        </w:sectPr>
      </w:pPr>
    </w:p>
    <w:p w:rsidR="00467031" w:rsidRPr="00F87CFA" w:rsidRDefault="0042603D" w:rsidP="00467031">
      <w:pPr>
        <w:pStyle w:val="Tabletitle"/>
      </w:pPr>
      <w:r>
        <w:lastRenderedPageBreak/>
        <w:t xml:space="preserve">Appendix 1 </w:t>
      </w:r>
      <w:r w:rsidR="00467031">
        <w:t>–</w:t>
      </w:r>
      <w:r w:rsidR="00467031" w:rsidRPr="00F87CFA">
        <w:t xml:space="preserve"> </w:t>
      </w:r>
      <w:r w:rsidR="00467031">
        <w:t>Survey items and Mean Responses</w:t>
      </w:r>
    </w:p>
    <w:p w:rsidR="0050645F" w:rsidRDefault="00EB59D1" w:rsidP="0050645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n-ZA" w:eastAsia="en-ZA"/>
        </w:rPr>
        <w:pict>
          <v:line id="Straight Connector 26" o:spid="_x0000_s1034" style="position:absolute;left:0;text-align:left;flip:x;z-index:251655168;visibility:visible;mso-width-relative:margin;mso-height-relative:margin" from="261.25pt,305.05pt" to="529.7pt,3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" strokecolor="gray" strokeweight="1.25pt"/>
        </w:pict>
      </w:r>
      <w:r>
        <w:rPr>
          <w:rFonts w:ascii="Times New Roman" w:hAnsi="Times New Roman"/>
          <w:noProof/>
          <w:lang w:val="en-ZA" w:eastAsia="en-ZA"/>
        </w:rPr>
        <w:pict>
          <v:line id="Straight Connector 27" o:spid="_x0000_s1035" style="position:absolute;left:0;text-align:left;flip:x;z-index:251656192;visibility:visible;mso-width-relative:margin;mso-height-relative:margin" from="261.25pt,395.5pt" to="529.7pt,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" strokecolor="gray" strokeweight="1.25pt"/>
        </w:pict>
      </w:r>
      <w:r>
        <w:rPr>
          <w:rFonts w:ascii="Times New Roman" w:hAnsi="Times New Roman"/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465.9pt;margin-top:77.8pt;width:63.8pt;height:35.75pt;z-index:2516510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" stroked="f" strokeweight=".5pt">
            <v:textbox inset="0,0,0,0">
              <w:txbxContent>
                <w:p w:rsidR="0025320C" w:rsidRPr="009A6565" w:rsidRDefault="0025320C" w:rsidP="0050645F">
                  <w:pPr>
                    <w:rPr>
                      <w:b/>
                    </w:rPr>
                  </w:pPr>
                  <w:r w:rsidRPr="009A6565">
                    <w:rPr>
                      <w:b/>
                    </w:rPr>
                    <w:t>Performance Expectancy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ZA" w:eastAsia="en-ZA"/>
        </w:rPr>
        <w:pict>
          <v:shape id="Text Box 34" o:spid="_x0000_s1027" type="#_x0000_t202" style="position:absolute;left:0;text-align:left;margin-left:468.2pt;margin-top:652.95pt;width:56.65pt;height:27.7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" stroked="f" strokeweight=".5pt">
            <v:textbox inset="0,0,0,0">
              <w:txbxContent>
                <w:p w:rsidR="0025320C" w:rsidRPr="009A6565" w:rsidRDefault="0025320C" w:rsidP="0050645F">
                  <w:pPr>
                    <w:rPr>
                      <w:b/>
                    </w:rPr>
                  </w:pPr>
                  <w:r>
                    <w:rPr>
                      <w:b/>
                    </w:rPr>
                    <w:t>Acceptance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ZA" w:eastAsia="en-ZA"/>
        </w:rPr>
        <w:pict>
          <v:shape id="Text Box 33" o:spid="_x0000_s1028" type="#_x0000_t202" style="position:absolute;left:0;text-align:left;margin-left:468.2pt;margin-top:574pt;width:37pt;height:28.8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" stroked="f" strokeweight=".5pt">
            <v:textbox inset="0,0,0,0">
              <w:txbxContent>
                <w:p w:rsidR="0025320C" w:rsidRPr="009A6565" w:rsidRDefault="0025320C" w:rsidP="0050645F">
                  <w:pPr>
                    <w:rPr>
                      <w:b/>
                    </w:rPr>
                  </w:pPr>
                  <w:r>
                    <w:rPr>
                      <w:b/>
                    </w:rPr>
                    <w:t>Price Value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ZA" w:eastAsia="en-ZA"/>
        </w:rPr>
        <w:pict>
          <v:shape id="Text Box 32" o:spid="_x0000_s1029" type="#_x0000_t202" style="position:absolute;left:0;text-align:left;margin-left:469.65pt;margin-top:500.6pt;width:52.45pt;height:35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" stroked="f" strokeweight=".5pt">
            <v:textbox inset="0,0,0,0">
              <w:txbxContent>
                <w:p w:rsidR="0025320C" w:rsidRDefault="0025320C" w:rsidP="0050645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Social </w:t>
                  </w:r>
                </w:p>
                <w:p w:rsidR="0025320C" w:rsidRPr="009A6565" w:rsidRDefault="0025320C" w:rsidP="0050645F">
                  <w:pPr>
                    <w:rPr>
                      <w:b/>
                    </w:rPr>
                  </w:pPr>
                  <w:r>
                    <w:rPr>
                      <w:b/>
                    </w:rPr>
                    <w:t>Influence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ZA" w:eastAsia="en-ZA"/>
        </w:rPr>
        <w:pict>
          <v:shape id="Text Box 31" o:spid="_x0000_s1030" type="#_x0000_t202" style="position:absolute;left:0;text-align:left;margin-left:473.05pt;margin-top:419.6pt;width:56.65pt;height:33.2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" stroked="f" strokeweight=".5pt">
            <v:textbox inset="0,0,0,0">
              <w:txbxContent>
                <w:p w:rsidR="0025320C" w:rsidRPr="009A6565" w:rsidRDefault="0025320C" w:rsidP="0050645F">
                  <w:pPr>
                    <w:rPr>
                      <w:b/>
                    </w:rPr>
                  </w:pPr>
                  <w:r>
                    <w:rPr>
                      <w:b/>
                    </w:rPr>
                    <w:t>Facilitating Conditions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ZA" w:eastAsia="en-ZA"/>
        </w:rPr>
        <w:pict>
          <v:shape id="Text Box 23" o:spid="_x0000_s1031" type="#_x0000_t202" style="position:absolute;left:0;text-align:left;margin-left:468.2pt;margin-top:325.7pt;width:52.5pt;height:15pt;z-index:2516531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E6fgIAAAc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" stroked="f" strokeweight=".5pt">
            <v:textbox inset="0,0,0,0">
              <w:txbxContent>
                <w:p w:rsidR="0025320C" w:rsidRPr="009A6565" w:rsidRDefault="0025320C" w:rsidP="0050645F">
                  <w:pPr>
                    <w:rPr>
                      <w:b/>
                    </w:rPr>
                  </w:pPr>
                  <w:r>
                    <w:rPr>
                      <w:b/>
                    </w:rPr>
                    <w:t>Trust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ZA" w:eastAsia="en-ZA"/>
        </w:rPr>
        <w:pict>
          <v:shape id="Text Box 22" o:spid="_x0000_s1032" type="#_x0000_t202" style="position:absolute;left:0;text-align:left;margin-left:468.2pt;margin-top:196.3pt;width:56.65pt;height:49.55pt;z-index:251652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itfQIAAAcF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" stroked="f" strokeweight=".5pt">
            <v:textbox inset="0,0,0,0">
              <w:txbxContent>
                <w:p w:rsidR="0025320C" w:rsidRDefault="0025320C" w:rsidP="0050645F">
                  <w:pPr>
                    <w:rPr>
                      <w:b/>
                    </w:rPr>
                  </w:pPr>
                  <w:r>
                    <w:rPr>
                      <w:b/>
                    </w:rPr>
                    <w:t>Effort</w:t>
                  </w:r>
                  <w:r w:rsidRPr="009A6565">
                    <w:rPr>
                      <w:b/>
                    </w:rPr>
                    <w:t xml:space="preserve"> </w:t>
                  </w:r>
                </w:p>
                <w:p w:rsidR="0025320C" w:rsidRPr="009A6565" w:rsidRDefault="0025320C" w:rsidP="0050645F">
                  <w:pPr>
                    <w:rPr>
                      <w:b/>
                    </w:rPr>
                  </w:pPr>
                  <w:r w:rsidRPr="009A6565">
                    <w:rPr>
                      <w:b/>
                    </w:rPr>
                    <w:t>Expectancy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ZA" w:eastAsia="en-ZA"/>
        </w:rPr>
        <w:pict>
          <v:line id="Straight Connector 29" o:spid="_x0000_s1039" style="position:absolute;left:0;text-align:left;flip:x;z-index:251658240;visibility:visible;mso-width-relative:margin;mso-height-relative:margin" from="261.25pt,558.8pt" to="529.7pt,5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" strokecolor="gray" strokeweight="1.25pt"/>
        </w:pict>
      </w:r>
      <w:r>
        <w:rPr>
          <w:rFonts w:ascii="Times New Roman" w:hAnsi="Times New Roman"/>
          <w:noProof/>
          <w:lang w:val="en-ZA" w:eastAsia="en-ZA"/>
        </w:rPr>
        <w:pict>
          <v:line id="Line 19" o:spid="_x0000_s1038" style="position:absolute;left:0;text-align:left;flip:x;z-index:251664384;visibility:visible;mso-width-relative:margin;mso-height-relative:margin" from="261.25pt,630.8pt" to="529.7pt,6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" strokecolor="gray" strokeweight="1.25pt"/>
        </w:pict>
      </w:r>
      <w:r>
        <w:rPr>
          <w:rFonts w:ascii="Times New Roman" w:hAnsi="Times New Roman"/>
          <w:noProof/>
          <w:lang w:val="en-ZA" w:eastAsia="en-ZA"/>
        </w:rPr>
        <w:pict>
          <v:line id="Straight Connector 30" o:spid="_x0000_s1037" style="position:absolute;left:0;text-align:left;flip:x;z-index:251659264;visibility:visible;mso-width-relative:margin;mso-height-relative:margin" from="261.25pt,700.7pt" to="529.7pt,7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" strokecolor="gray" strokeweight="1.25pt"/>
        </w:pict>
      </w:r>
      <w:r>
        <w:rPr>
          <w:rFonts w:ascii="Times New Roman" w:hAnsi="Times New Roman"/>
          <w:noProof/>
          <w:lang w:val="en-ZA" w:eastAsia="en-ZA"/>
        </w:rPr>
        <w:pict>
          <v:line id="Straight Connector 28" o:spid="_x0000_s1036" style="position:absolute;left:0;text-align:left;flip:x;z-index:251657216;visibility:visible;mso-width-relative:margin;mso-height-relative:margin" from="261.25pt,488.85pt" to="529.7pt,4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" strokecolor="gray" strokeweight="1.25pt"/>
        </w:pict>
      </w:r>
      <w:r>
        <w:rPr>
          <w:rFonts w:ascii="Times New Roman" w:hAnsi="Times New Roman"/>
          <w:noProof/>
          <w:lang w:val="en-ZA" w:eastAsia="en-ZA"/>
        </w:rPr>
        <w:pict>
          <v:line id="Straight Connector 25" o:spid="_x0000_s1033" style="position:absolute;left:0;text-align:left;flip:x;z-index:251654144;visibility:visible;mso-width-relative:margin;mso-height-relative:margin" from="261.25pt,163pt" to="533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" strokecolor="gray" strokeweight="1.25pt"/>
        </w:pict>
      </w:r>
      <w:r w:rsidR="003705BD">
        <w:rPr>
          <w:rFonts w:ascii="Times New Roman" w:hAnsi="Times New Roman"/>
          <w:noProof/>
          <w:lang w:val="en-ZA" w:eastAsia="en-ZA"/>
        </w:rPr>
        <w:drawing>
          <wp:inline distT="0" distB="0" distL="0" distR="0">
            <wp:extent cx="6841490" cy="8923655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892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5F" w:rsidRDefault="0050645F" w:rsidP="0050645F">
      <w:pPr>
        <w:rPr>
          <w:sz w:val="18"/>
          <w:szCs w:val="18"/>
        </w:rPr>
      </w:pPr>
    </w:p>
    <w:p w:rsidR="0050645F" w:rsidRPr="0050645F" w:rsidRDefault="0050645F" w:rsidP="0050645F">
      <w:pPr>
        <w:rPr>
          <w:sz w:val="18"/>
          <w:szCs w:val="18"/>
        </w:rPr>
      </w:pPr>
      <w:r w:rsidRPr="0050645F">
        <w:rPr>
          <w:sz w:val="18"/>
          <w:szCs w:val="18"/>
        </w:rPr>
        <w:t xml:space="preserve">* </w:t>
      </w:r>
      <w:proofErr w:type="gramStart"/>
      <w:r w:rsidRPr="0050645F">
        <w:rPr>
          <w:sz w:val="18"/>
          <w:szCs w:val="18"/>
        </w:rPr>
        <w:t>item</w:t>
      </w:r>
      <w:proofErr w:type="gramEnd"/>
      <w:r w:rsidRPr="0050645F">
        <w:rPr>
          <w:sz w:val="18"/>
          <w:szCs w:val="18"/>
        </w:rPr>
        <w:t xml:space="preserve"> dropped</w:t>
      </w:r>
      <w:r w:rsidR="00900832">
        <w:rPr>
          <w:sz w:val="18"/>
          <w:szCs w:val="18"/>
        </w:rPr>
        <w:t xml:space="preserve"> from calculation of composite variable scores</w:t>
      </w:r>
      <w:r w:rsidRPr="0050645F">
        <w:rPr>
          <w:sz w:val="18"/>
          <w:szCs w:val="18"/>
        </w:rPr>
        <w:t xml:space="preserve"> following principal components analysis</w:t>
      </w:r>
    </w:p>
    <w:p w:rsidR="0050645F" w:rsidRDefault="0050645F" w:rsidP="00874B6C">
      <w:pPr>
        <w:pStyle w:val="Correspondence"/>
        <w:ind w:left="0" w:firstLine="0"/>
      </w:pPr>
    </w:p>
    <w:sectPr w:rsidR="0050645F" w:rsidSect="0050645F">
      <w:type w:val="continuous"/>
      <w:pgSz w:w="11907" w:h="16840" w:code="9"/>
      <w:pgMar w:top="562" w:right="567" w:bottom="562" w:left="567" w:header="0" w:footer="1440" w:gutter="0"/>
      <w:cols w:space="706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C5" w:rsidRDefault="001242C5" w:rsidP="005C6FF5">
      <w:r>
        <w:separator/>
      </w:r>
    </w:p>
  </w:endnote>
  <w:endnote w:type="continuationSeparator" w:id="0">
    <w:p w:rsidR="001242C5" w:rsidRDefault="001242C5" w:rsidP="005C6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C5" w:rsidRDefault="001242C5" w:rsidP="005C6FF5">
      <w:r>
        <w:separator/>
      </w:r>
    </w:p>
  </w:footnote>
  <w:footnote w:type="continuationSeparator" w:id="0">
    <w:p w:rsidR="001242C5" w:rsidRDefault="001242C5" w:rsidP="005C6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E818E4"/>
    <w:lvl w:ilvl="0">
      <w:numFmt w:val="bullet"/>
      <w:lvlText w:val="*"/>
      <w:lvlJc w:val="left"/>
    </w:lvl>
  </w:abstractNum>
  <w:abstractNum w:abstractNumId="1">
    <w:nsid w:val="16E34A8C"/>
    <w:multiLevelType w:val="singleLevel"/>
    <w:tmpl w:val="59C8E9CC"/>
    <w:lvl w:ilvl="0">
      <w:start w:val="1"/>
      <w:numFmt w:val="decimal"/>
      <w:lvlText w:val="%1."/>
      <w:legacy w:legacy="1" w:legacySpace="0" w:legacyIndent="288"/>
      <w:lvlJc w:val="left"/>
      <w:pPr>
        <w:ind w:left="576" w:hanging="288"/>
      </w:pPr>
      <w:rPr>
        <w:rFonts w:cs="Times New Roman"/>
      </w:rPr>
    </w:lvl>
  </w:abstractNum>
  <w:abstractNum w:abstractNumId="2">
    <w:nsid w:val="62715F33"/>
    <w:multiLevelType w:val="singleLevel"/>
    <w:tmpl w:val="8684D488"/>
    <w:lvl w:ilvl="0">
      <w:start w:val="1"/>
      <w:numFmt w:val="decimal"/>
      <w:lvlText w:val="[%1]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71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45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autoHyphenation/>
  <w:consecutiveHyphenLimit w:val="28257"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99A"/>
    <w:rsid w:val="0000253B"/>
    <w:rsid w:val="000025E0"/>
    <w:rsid w:val="000043CA"/>
    <w:rsid w:val="00004FC1"/>
    <w:rsid w:val="000076DB"/>
    <w:rsid w:val="00017633"/>
    <w:rsid w:val="00031359"/>
    <w:rsid w:val="00035D85"/>
    <w:rsid w:val="00055D45"/>
    <w:rsid w:val="000563A3"/>
    <w:rsid w:val="00071550"/>
    <w:rsid w:val="00074739"/>
    <w:rsid w:val="00076CC5"/>
    <w:rsid w:val="00090D32"/>
    <w:rsid w:val="00091840"/>
    <w:rsid w:val="000A28A3"/>
    <w:rsid w:val="000B18F4"/>
    <w:rsid w:val="000C074C"/>
    <w:rsid w:val="000C2337"/>
    <w:rsid w:val="000E7100"/>
    <w:rsid w:val="000F1D60"/>
    <w:rsid w:val="00104050"/>
    <w:rsid w:val="001075F1"/>
    <w:rsid w:val="001154B0"/>
    <w:rsid w:val="001168FF"/>
    <w:rsid w:val="001242C5"/>
    <w:rsid w:val="00135521"/>
    <w:rsid w:val="00135DB2"/>
    <w:rsid w:val="00143971"/>
    <w:rsid w:val="00151BBB"/>
    <w:rsid w:val="00151C3B"/>
    <w:rsid w:val="00170D1C"/>
    <w:rsid w:val="00173715"/>
    <w:rsid w:val="0018606F"/>
    <w:rsid w:val="001A5B19"/>
    <w:rsid w:val="001C3AD7"/>
    <w:rsid w:val="001D3AA8"/>
    <w:rsid w:val="001E2F2B"/>
    <w:rsid w:val="001E5E4C"/>
    <w:rsid w:val="001F30E2"/>
    <w:rsid w:val="0020005A"/>
    <w:rsid w:val="00205916"/>
    <w:rsid w:val="002066D1"/>
    <w:rsid w:val="00207087"/>
    <w:rsid w:val="00232A55"/>
    <w:rsid w:val="00233DB8"/>
    <w:rsid w:val="0025320C"/>
    <w:rsid w:val="002537A9"/>
    <w:rsid w:val="00253860"/>
    <w:rsid w:val="00255848"/>
    <w:rsid w:val="0026620D"/>
    <w:rsid w:val="0027313F"/>
    <w:rsid w:val="00286AE6"/>
    <w:rsid w:val="002879F9"/>
    <w:rsid w:val="002B307C"/>
    <w:rsid w:val="002C11E4"/>
    <w:rsid w:val="002E112A"/>
    <w:rsid w:val="002E4C5F"/>
    <w:rsid w:val="002E6CAB"/>
    <w:rsid w:val="002F3550"/>
    <w:rsid w:val="00302379"/>
    <w:rsid w:val="00303E40"/>
    <w:rsid w:val="00310E09"/>
    <w:rsid w:val="003166BD"/>
    <w:rsid w:val="00322F07"/>
    <w:rsid w:val="003309EA"/>
    <w:rsid w:val="00332873"/>
    <w:rsid w:val="003360EC"/>
    <w:rsid w:val="003365AF"/>
    <w:rsid w:val="00337439"/>
    <w:rsid w:val="003412A9"/>
    <w:rsid w:val="00341D70"/>
    <w:rsid w:val="00351211"/>
    <w:rsid w:val="0035235D"/>
    <w:rsid w:val="00362C63"/>
    <w:rsid w:val="003705BD"/>
    <w:rsid w:val="00373B12"/>
    <w:rsid w:val="003754E2"/>
    <w:rsid w:val="00385BD9"/>
    <w:rsid w:val="00392AFA"/>
    <w:rsid w:val="00397E91"/>
    <w:rsid w:val="003D0DA4"/>
    <w:rsid w:val="003D356D"/>
    <w:rsid w:val="003D5E27"/>
    <w:rsid w:val="003F08A1"/>
    <w:rsid w:val="003F365D"/>
    <w:rsid w:val="00403034"/>
    <w:rsid w:val="0042603D"/>
    <w:rsid w:val="00431893"/>
    <w:rsid w:val="00432EBC"/>
    <w:rsid w:val="004365B6"/>
    <w:rsid w:val="00444FC9"/>
    <w:rsid w:val="00445381"/>
    <w:rsid w:val="00447FBC"/>
    <w:rsid w:val="00463AAF"/>
    <w:rsid w:val="00464F45"/>
    <w:rsid w:val="00467031"/>
    <w:rsid w:val="00480B8B"/>
    <w:rsid w:val="00492172"/>
    <w:rsid w:val="004A6085"/>
    <w:rsid w:val="004B58BF"/>
    <w:rsid w:val="004B7CA9"/>
    <w:rsid w:val="004C0C1C"/>
    <w:rsid w:val="004C4CB0"/>
    <w:rsid w:val="004E6B16"/>
    <w:rsid w:val="004E71E9"/>
    <w:rsid w:val="004F2408"/>
    <w:rsid w:val="005061F3"/>
    <w:rsid w:val="0050645F"/>
    <w:rsid w:val="005107CC"/>
    <w:rsid w:val="00513374"/>
    <w:rsid w:val="00521DB9"/>
    <w:rsid w:val="00534DC4"/>
    <w:rsid w:val="005411E5"/>
    <w:rsid w:val="0054471E"/>
    <w:rsid w:val="00553F8E"/>
    <w:rsid w:val="00557407"/>
    <w:rsid w:val="005714AA"/>
    <w:rsid w:val="00577664"/>
    <w:rsid w:val="005864EA"/>
    <w:rsid w:val="00586C08"/>
    <w:rsid w:val="005A6A63"/>
    <w:rsid w:val="005C6FF5"/>
    <w:rsid w:val="005D764D"/>
    <w:rsid w:val="005E1617"/>
    <w:rsid w:val="005E75F6"/>
    <w:rsid w:val="005F4A8B"/>
    <w:rsid w:val="0060617D"/>
    <w:rsid w:val="00623D19"/>
    <w:rsid w:val="00631EA7"/>
    <w:rsid w:val="006368CB"/>
    <w:rsid w:val="00640CE7"/>
    <w:rsid w:val="00641FDA"/>
    <w:rsid w:val="00662D84"/>
    <w:rsid w:val="00673B20"/>
    <w:rsid w:val="0067588E"/>
    <w:rsid w:val="00684E95"/>
    <w:rsid w:val="00685C37"/>
    <w:rsid w:val="006920EF"/>
    <w:rsid w:val="006B1D97"/>
    <w:rsid w:val="006B6312"/>
    <w:rsid w:val="006E6DDE"/>
    <w:rsid w:val="006F20EA"/>
    <w:rsid w:val="00722FF6"/>
    <w:rsid w:val="00753ACE"/>
    <w:rsid w:val="0075636E"/>
    <w:rsid w:val="0076647F"/>
    <w:rsid w:val="00767DF8"/>
    <w:rsid w:val="00772FDC"/>
    <w:rsid w:val="00774D8E"/>
    <w:rsid w:val="00775EDD"/>
    <w:rsid w:val="00795BDC"/>
    <w:rsid w:val="007A240D"/>
    <w:rsid w:val="007B5300"/>
    <w:rsid w:val="007C3BDF"/>
    <w:rsid w:val="007C4C6D"/>
    <w:rsid w:val="007C568E"/>
    <w:rsid w:val="007D1490"/>
    <w:rsid w:val="007E615D"/>
    <w:rsid w:val="007F64F2"/>
    <w:rsid w:val="00810EFA"/>
    <w:rsid w:val="00815126"/>
    <w:rsid w:val="00823AEF"/>
    <w:rsid w:val="00825A8D"/>
    <w:rsid w:val="0083316B"/>
    <w:rsid w:val="008503B9"/>
    <w:rsid w:val="00851C92"/>
    <w:rsid w:val="008679DC"/>
    <w:rsid w:val="0087089E"/>
    <w:rsid w:val="00874B6C"/>
    <w:rsid w:val="00883899"/>
    <w:rsid w:val="00883D15"/>
    <w:rsid w:val="00885258"/>
    <w:rsid w:val="008A222F"/>
    <w:rsid w:val="008C0964"/>
    <w:rsid w:val="008C112B"/>
    <w:rsid w:val="008C4E47"/>
    <w:rsid w:val="008D283F"/>
    <w:rsid w:val="008E2621"/>
    <w:rsid w:val="008E54AB"/>
    <w:rsid w:val="008E74E0"/>
    <w:rsid w:val="008F11E7"/>
    <w:rsid w:val="008F1B19"/>
    <w:rsid w:val="00900832"/>
    <w:rsid w:val="00903EF3"/>
    <w:rsid w:val="00911661"/>
    <w:rsid w:val="0091362D"/>
    <w:rsid w:val="00914125"/>
    <w:rsid w:val="009222FB"/>
    <w:rsid w:val="0093421E"/>
    <w:rsid w:val="009355E2"/>
    <w:rsid w:val="00935E72"/>
    <w:rsid w:val="00937ACA"/>
    <w:rsid w:val="009528F0"/>
    <w:rsid w:val="009531F6"/>
    <w:rsid w:val="0095357D"/>
    <w:rsid w:val="00953D57"/>
    <w:rsid w:val="00962B69"/>
    <w:rsid w:val="00967254"/>
    <w:rsid w:val="009706C5"/>
    <w:rsid w:val="00970744"/>
    <w:rsid w:val="009841CF"/>
    <w:rsid w:val="00993E57"/>
    <w:rsid w:val="009A05F8"/>
    <w:rsid w:val="009A1627"/>
    <w:rsid w:val="009A183E"/>
    <w:rsid w:val="009C06F0"/>
    <w:rsid w:val="009D150C"/>
    <w:rsid w:val="009F0EAB"/>
    <w:rsid w:val="00A03DBA"/>
    <w:rsid w:val="00A07C4D"/>
    <w:rsid w:val="00A153E2"/>
    <w:rsid w:val="00A23D24"/>
    <w:rsid w:val="00A43D0F"/>
    <w:rsid w:val="00A45EC7"/>
    <w:rsid w:val="00A47A1F"/>
    <w:rsid w:val="00A5291E"/>
    <w:rsid w:val="00A7024F"/>
    <w:rsid w:val="00A71C38"/>
    <w:rsid w:val="00A744FF"/>
    <w:rsid w:val="00A93D86"/>
    <w:rsid w:val="00A95CDD"/>
    <w:rsid w:val="00A96574"/>
    <w:rsid w:val="00AA17F8"/>
    <w:rsid w:val="00AA1BB8"/>
    <w:rsid w:val="00AA32AB"/>
    <w:rsid w:val="00AA4081"/>
    <w:rsid w:val="00AC2346"/>
    <w:rsid w:val="00AC56CF"/>
    <w:rsid w:val="00AD0165"/>
    <w:rsid w:val="00AE418B"/>
    <w:rsid w:val="00B06BAB"/>
    <w:rsid w:val="00B129B0"/>
    <w:rsid w:val="00B15C6B"/>
    <w:rsid w:val="00B4062F"/>
    <w:rsid w:val="00B42154"/>
    <w:rsid w:val="00B5430D"/>
    <w:rsid w:val="00B678AF"/>
    <w:rsid w:val="00B702D6"/>
    <w:rsid w:val="00B74081"/>
    <w:rsid w:val="00B8127B"/>
    <w:rsid w:val="00B84B91"/>
    <w:rsid w:val="00BA2838"/>
    <w:rsid w:val="00BA2E57"/>
    <w:rsid w:val="00BB343C"/>
    <w:rsid w:val="00BB4C23"/>
    <w:rsid w:val="00BB6A3A"/>
    <w:rsid w:val="00BB7257"/>
    <w:rsid w:val="00BC04E0"/>
    <w:rsid w:val="00BC2728"/>
    <w:rsid w:val="00BC2D0E"/>
    <w:rsid w:val="00BD190F"/>
    <w:rsid w:val="00BD729D"/>
    <w:rsid w:val="00BE584A"/>
    <w:rsid w:val="00BF78CE"/>
    <w:rsid w:val="00BF7D5F"/>
    <w:rsid w:val="00C00164"/>
    <w:rsid w:val="00C10DF5"/>
    <w:rsid w:val="00C13326"/>
    <w:rsid w:val="00C159F0"/>
    <w:rsid w:val="00C24CB2"/>
    <w:rsid w:val="00C30245"/>
    <w:rsid w:val="00C34BD1"/>
    <w:rsid w:val="00C474D6"/>
    <w:rsid w:val="00C53C61"/>
    <w:rsid w:val="00C56D49"/>
    <w:rsid w:val="00C61057"/>
    <w:rsid w:val="00C66603"/>
    <w:rsid w:val="00C77B13"/>
    <w:rsid w:val="00C81F37"/>
    <w:rsid w:val="00C857CA"/>
    <w:rsid w:val="00CA12C7"/>
    <w:rsid w:val="00CA243F"/>
    <w:rsid w:val="00CA3FF8"/>
    <w:rsid w:val="00CB15B2"/>
    <w:rsid w:val="00CB2508"/>
    <w:rsid w:val="00CB40C8"/>
    <w:rsid w:val="00CB559D"/>
    <w:rsid w:val="00CC0BB9"/>
    <w:rsid w:val="00CC1025"/>
    <w:rsid w:val="00CC1632"/>
    <w:rsid w:val="00CD476F"/>
    <w:rsid w:val="00CE35BA"/>
    <w:rsid w:val="00CE390E"/>
    <w:rsid w:val="00CF3B51"/>
    <w:rsid w:val="00CF3BB5"/>
    <w:rsid w:val="00D046F6"/>
    <w:rsid w:val="00D13A0E"/>
    <w:rsid w:val="00D222CF"/>
    <w:rsid w:val="00D25CB4"/>
    <w:rsid w:val="00D25D06"/>
    <w:rsid w:val="00D26703"/>
    <w:rsid w:val="00D35D25"/>
    <w:rsid w:val="00D364A3"/>
    <w:rsid w:val="00D415AB"/>
    <w:rsid w:val="00D430FC"/>
    <w:rsid w:val="00D479D8"/>
    <w:rsid w:val="00D71B38"/>
    <w:rsid w:val="00D862EC"/>
    <w:rsid w:val="00D93DAA"/>
    <w:rsid w:val="00DA37BE"/>
    <w:rsid w:val="00DA7517"/>
    <w:rsid w:val="00DB41A4"/>
    <w:rsid w:val="00DC52AF"/>
    <w:rsid w:val="00DC6A0E"/>
    <w:rsid w:val="00DD3604"/>
    <w:rsid w:val="00DD6FF7"/>
    <w:rsid w:val="00DE2A22"/>
    <w:rsid w:val="00E04FE8"/>
    <w:rsid w:val="00E0587F"/>
    <w:rsid w:val="00E2219A"/>
    <w:rsid w:val="00E25042"/>
    <w:rsid w:val="00E34D4E"/>
    <w:rsid w:val="00E37F9C"/>
    <w:rsid w:val="00E503F3"/>
    <w:rsid w:val="00E528AA"/>
    <w:rsid w:val="00E5621E"/>
    <w:rsid w:val="00E676B4"/>
    <w:rsid w:val="00E77A9D"/>
    <w:rsid w:val="00E81FC3"/>
    <w:rsid w:val="00E96208"/>
    <w:rsid w:val="00EA24A3"/>
    <w:rsid w:val="00EB057D"/>
    <w:rsid w:val="00EB59D1"/>
    <w:rsid w:val="00EE1B59"/>
    <w:rsid w:val="00EE7275"/>
    <w:rsid w:val="00F01577"/>
    <w:rsid w:val="00F064F1"/>
    <w:rsid w:val="00F07020"/>
    <w:rsid w:val="00F14333"/>
    <w:rsid w:val="00F26D83"/>
    <w:rsid w:val="00F37B08"/>
    <w:rsid w:val="00F4294F"/>
    <w:rsid w:val="00F454AF"/>
    <w:rsid w:val="00F55E6E"/>
    <w:rsid w:val="00F60D84"/>
    <w:rsid w:val="00F6129D"/>
    <w:rsid w:val="00F70441"/>
    <w:rsid w:val="00F7045E"/>
    <w:rsid w:val="00F8599A"/>
    <w:rsid w:val="00F85B30"/>
    <w:rsid w:val="00F864DB"/>
    <w:rsid w:val="00F87CFA"/>
    <w:rsid w:val="00F87D37"/>
    <w:rsid w:val="00F90D24"/>
    <w:rsid w:val="00FA03C1"/>
    <w:rsid w:val="00FD15BA"/>
    <w:rsid w:val="00FD1CC1"/>
    <w:rsid w:val="00FD50E9"/>
    <w:rsid w:val="00FE1951"/>
    <w:rsid w:val="00FF1D9F"/>
    <w:rsid w:val="00FF4F22"/>
    <w:rsid w:val="00FF5FAF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C6FF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en-US" w:eastAsia="fr-FR"/>
    </w:rPr>
  </w:style>
  <w:style w:type="paragraph" w:styleId="Heading1">
    <w:name w:val="heading 1"/>
    <w:basedOn w:val="Normal"/>
    <w:next w:val="Normal"/>
    <w:qFormat/>
    <w:rsid w:val="00464F45"/>
    <w:pPr>
      <w:keepNext/>
      <w:spacing w:before="240" w:after="24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464F45"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64F45"/>
    <w:pPr>
      <w:keepNext/>
      <w:spacing w:before="60" w:after="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A1627"/>
    <w:pPr>
      <w:spacing w:before="60" w:after="60"/>
    </w:pPr>
  </w:style>
  <w:style w:type="paragraph" w:customStyle="1" w:styleId="Bullet">
    <w:name w:val="Bullet"/>
    <w:basedOn w:val="Body"/>
    <w:rsid w:val="009A1627"/>
    <w:pPr>
      <w:ind w:left="576" w:hanging="288"/>
    </w:pPr>
  </w:style>
  <w:style w:type="paragraph" w:styleId="Title">
    <w:name w:val="Title"/>
    <w:basedOn w:val="Normal"/>
    <w:qFormat/>
    <w:rsid w:val="009A1627"/>
    <w:pPr>
      <w:spacing w:before="1200" w:after="240"/>
      <w:jc w:val="center"/>
    </w:pPr>
    <w:rPr>
      <w:b/>
      <w:kern w:val="28"/>
      <w:sz w:val="28"/>
    </w:rPr>
  </w:style>
  <w:style w:type="paragraph" w:customStyle="1" w:styleId="Authors">
    <w:name w:val="Authors"/>
    <w:basedOn w:val="Normal"/>
    <w:rsid w:val="009A1627"/>
    <w:pPr>
      <w:spacing w:before="240" w:after="240"/>
      <w:jc w:val="center"/>
    </w:pPr>
    <w:rPr>
      <w:b/>
      <w:sz w:val="24"/>
    </w:rPr>
  </w:style>
  <w:style w:type="paragraph" w:customStyle="1" w:styleId="Addresses">
    <w:name w:val="Addresses"/>
    <w:basedOn w:val="Normal"/>
    <w:rsid w:val="009A1627"/>
    <w:pPr>
      <w:jc w:val="center"/>
    </w:pPr>
    <w:rPr>
      <w:i/>
    </w:rPr>
  </w:style>
  <w:style w:type="paragraph" w:customStyle="1" w:styleId="Tabletitle">
    <w:name w:val="Tabletitle"/>
    <w:basedOn w:val="Body"/>
    <w:rsid w:val="009A1627"/>
    <w:pPr>
      <w:spacing w:before="240" w:after="120"/>
      <w:jc w:val="center"/>
    </w:pPr>
    <w:rPr>
      <w:i/>
    </w:rPr>
  </w:style>
  <w:style w:type="paragraph" w:customStyle="1" w:styleId="FigureTitle">
    <w:name w:val="FigureTitle"/>
    <w:basedOn w:val="Body"/>
    <w:rsid w:val="009A1627"/>
    <w:pPr>
      <w:spacing w:after="120"/>
      <w:jc w:val="center"/>
    </w:pPr>
    <w:rPr>
      <w:i/>
    </w:rPr>
  </w:style>
  <w:style w:type="paragraph" w:customStyle="1" w:styleId="TableHeading">
    <w:name w:val="TableHeading"/>
    <w:rsid w:val="009A162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lang w:val="fr-FR" w:eastAsia="fr-FR"/>
    </w:rPr>
  </w:style>
  <w:style w:type="paragraph" w:customStyle="1" w:styleId="TableCell">
    <w:name w:val="TableCell"/>
    <w:basedOn w:val="Body"/>
    <w:rsid w:val="009A1627"/>
    <w:pPr>
      <w:jc w:val="left"/>
    </w:pPr>
  </w:style>
  <w:style w:type="paragraph" w:customStyle="1" w:styleId="Equation">
    <w:name w:val="Equation"/>
    <w:basedOn w:val="Normal"/>
    <w:rsid w:val="009A1627"/>
    <w:pPr>
      <w:spacing w:before="120" w:after="120"/>
      <w:jc w:val="right"/>
    </w:pPr>
    <w:rPr>
      <w:sz w:val="22"/>
    </w:rPr>
  </w:style>
  <w:style w:type="paragraph" w:customStyle="1" w:styleId="SubBullet">
    <w:name w:val="SubBullet"/>
    <w:basedOn w:val="Body"/>
    <w:rsid w:val="009A1627"/>
    <w:pPr>
      <w:ind w:left="1145" w:hanging="283"/>
    </w:pPr>
  </w:style>
  <w:style w:type="paragraph" w:customStyle="1" w:styleId="Reference">
    <w:name w:val="Reference"/>
    <w:basedOn w:val="Normal"/>
    <w:rsid w:val="009A1627"/>
    <w:pPr>
      <w:spacing w:before="60" w:after="60"/>
      <w:ind w:left="288" w:hanging="288"/>
    </w:pPr>
  </w:style>
  <w:style w:type="paragraph" w:styleId="FootnoteText">
    <w:name w:val="footnote text"/>
    <w:basedOn w:val="Normal"/>
    <w:semiHidden/>
    <w:rsid w:val="009A1627"/>
    <w:rPr>
      <w:sz w:val="18"/>
    </w:rPr>
  </w:style>
  <w:style w:type="character" w:styleId="FootnoteReference">
    <w:name w:val="footnote reference"/>
    <w:semiHidden/>
    <w:rsid w:val="009A1627"/>
    <w:rPr>
      <w:rFonts w:cs="Times New Roman"/>
      <w:vertAlign w:val="superscript"/>
    </w:rPr>
  </w:style>
  <w:style w:type="paragraph" w:customStyle="1" w:styleId="Enumerated">
    <w:name w:val="Enumerated"/>
    <w:basedOn w:val="Bullet"/>
    <w:rsid w:val="009A1627"/>
  </w:style>
  <w:style w:type="paragraph" w:customStyle="1" w:styleId="ColorfulGrid-Accent11">
    <w:name w:val="Colorful Grid - Accent 11"/>
    <w:basedOn w:val="Body"/>
    <w:qFormat/>
    <w:rsid w:val="009A1627"/>
    <w:pPr>
      <w:spacing w:before="0" w:after="0"/>
      <w:ind w:left="446" w:firstLine="144"/>
    </w:pPr>
  </w:style>
  <w:style w:type="paragraph" w:customStyle="1" w:styleId="Correspondence">
    <w:name w:val="Correspondence"/>
    <w:basedOn w:val="Body"/>
    <w:rsid w:val="009A1627"/>
    <w:pPr>
      <w:ind w:left="180" w:firstLine="90"/>
    </w:pPr>
    <w:rPr>
      <w:sz w:val="18"/>
    </w:rPr>
  </w:style>
  <w:style w:type="paragraph" w:customStyle="1" w:styleId="BulletText">
    <w:name w:val="BulletText"/>
    <w:basedOn w:val="Bullet"/>
    <w:rsid w:val="009A1627"/>
  </w:style>
  <w:style w:type="character" w:styleId="Emphasis">
    <w:name w:val="Emphasis"/>
    <w:qFormat/>
    <w:rsid w:val="009A1627"/>
    <w:rPr>
      <w:rFonts w:cs="Times New Roman"/>
      <w:i/>
      <w:iCs/>
    </w:rPr>
  </w:style>
  <w:style w:type="character" w:styleId="Hyperlink">
    <w:name w:val="Hyperlink"/>
    <w:rsid w:val="009A1627"/>
    <w:rPr>
      <w:rFonts w:cs="Times New Roman"/>
      <w:color w:val="0000FF"/>
      <w:u w:val="single"/>
    </w:rPr>
  </w:style>
  <w:style w:type="paragraph" w:customStyle="1" w:styleId="Textedebulles">
    <w:name w:val="Texte de bulles"/>
    <w:basedOn w:val="Normal"/>
    <w:semiHidden/>
    <w:rsid w:val="009A1627"/>
    <w:rPr>
      <w:rFonts w:ascii="Tahoma" w:hAnsi="Tahoma" w:cs="Tahoma"/>
      <w:sz w:val="16"/>
      <w:szCs w:val="16"/>
    </w:rPr>
  </w:style>
  <w:style w:type="paragraph" w:customStyle="1" w:styleId="StyleFigureTitle">
    <w:name w:val="Style FigureTitle"/>
    <w:basedOn w:val="FigureTitle"/>
    <w:rsid w:val="009A1627"/>
    <w:pPr>
      <w:spacing w:before="120" w:after="240"/>
    </w:pPr>
    <w:rPr>
      <w:iCs/>
    </w:rPr>
  </w:style>
  <w:style w:type="paragraph" w:customStyle="1" w:styleId="BalloonText1">
    <w:name w:val="Balloon Text1"/>
    <w:basedOn w:val="Normal"/>
    <w:semiHidden/>
    <w:rsid w:val="009A162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A162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9A1627"/>
  </w:style>
  <w:style w:type="paragraph" w:customStyle="1" w:styleId="CommentSubject1">
    <w:name w:val="Comment Subject1"/>
    <w:basedOn w:val="CommentText"/>
    <w:next w:val="CommentText"/>
    <w:semiHidden/>
    <w:rsid w:val="009A1627"/>
    <w:rPr>
      <w:b/>
      <w:bCs/>
    </w:rPr>
  </w:style>
  <w:style w:type="paragraph" w:styleId="DocumentMap">
    <w:name w:val="Document Map"/>
    <w:basedOn w:val="Normal"/>
    <w:semiHidden/>
    <w:rsid w:val="009A1627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8F1B19"/>
  </w:style>
  <w:style w:type="paragraph" w:styleId="BalloonText">
    <w:name w:val="Balloon Text"/>
    <w:basedOn w:val="Normal"/>
    <w:link w:val="BalloonTextChar"/>
    <w:rsid w:val="00A9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6574"/>
    <w:rPr>
      <w:rFonts w:ascii="Tahoma" w:hAnsi="Tahoma" w:cs="Tahoma"/>
      <w:sz w:val="16"/>
      <w:szCs w:val="16"/>
      <w:lang w:val="en-US" w:eastAsia="fr-FR"/>
    </w:rPr>
  </w:style>
  <w:style w:type="paragraph" w:styleId="ListParagraph">
    <w:name w:val="List Paragraph"/>
    <w:basedOn w:val="Normal"/>
    <w:uiPriority w:val="34"/>
    <w:qFormat/>
    <w:rsid w:val="0050645F"/>
    <w:pPr>
      <w:overflowPunct/>
      <w:autoSpaceDE/>
      <w:autoSpaceDN/>
      <w:adjustRightInd/>
      <w:spacing w:before="240" w:after="240" w:line="360" w:lineRule="auto"/>
      <w:ind w:left="720"/>
      <w:contextualSpacing/>
      <w:textAlignment w:val="auto"/>
    </w:pPr>
    <w:rPr>
      <w:rFonts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C6FF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en-US" w:eastAsia="fr-FR"/>
    </w:rPr>
  </w:style>
  <w:style w:type="paragraph" w:styleId="Heading1">
    <w:name w:val="heading 1"/>
    <w:basedOn w:val="Normal"/>
    <w:next w:val="Normal"/>
    <w:qFormat/>
    <w:rsid w:val="00464F45"/>
    <w:pPr>
      <w:keepNext/>
      <w:spacing w:before="240" w:after="24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464F45"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64F45"/>
    <w:pPr>
      <w:keepNext/>
      <w:spacing w:before="60" w:after="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A1627"/>
    <w:pPr>
      <w:spacing w:before="60" w:after="60"/>
    </w:pPr>
  </w:style>
  <w:style w:type="paragraph" w:customStyle="1" w:styleId="Bullet">
    <w:name w:val="Bullet"/>
    <w:basedOn w:val="Body"/>
    <w:rsid w:val="009A1627"/>
    <w:pPr>
      <w:ind w:left="576" w:hanging="288"/>
    </w:pPr>
  </w:style>
  <w:style w:type="paragraph" w:styleId="Title">
    <w:name w:val="Title"/>
    <w:basedOn w:val="Normal"/>
    <w:qFormat/>
    <w:rsid w:val="009A1627"/>
    <w:pPr>
      <w:spacing w:before="1200" w:after="240"/>
      <w:jc w:val="center"/>
    </w:pPr>
    <w:rPr>
      <w:b/>
      <w:kern w:val="28"/>
      <w:sz w:val="28"/>
    </w:rPr>
  </w:style>
  <w:style w:type="paragraph" w:customStyle="1" w:styleId="Authors">
    <w:name w:val="Authors"/>
    <w:basedOn w:val="Normal"/>
    <w:rsid w:val="009A1627"/>
    <w:pPr>
      <w:spacing w:before="240" w:after="240"/>
      <w:jc w:val="center"/>
    </w:pPr>
    <w:rPr>
      <w:b/>
      <w:sz w:val="24"/>
    </w:rPr>
  </w:style>
  <w:style w:type="paragraph" w:customStyle="1" w:styleId="Addresses">
    <w:name w:val="Addresses"/>
    <w:basedOn w:val="Normal"/>
    <w:rsid w:val="009A1627"/>
    <w:pPr>
      <w:jc w:val="center"/>
    </w:pPr>
    <w:rPr>
      <w:i/>
    </w:rPr>
  </w:style>
  <w:style w:type="paragraph" w:customStyle="1" w:styleId="Tabletitle">
    <w:name w:val="Tabletitle"/>
    <w:basedOn w:val="Body"/>
    <w:rsid w:val="009A1627"/>
    <w:pPr>
      <w:spacing w:before="240" w:after="120"/>
      <w:jc w:val="center"/>
    </w:pPr>
    <w:rPr>
      <w:i/>
    </w:rPr>
  </w:style>
  <w:style w:type="paragraph" w:customStyle="1" w:styleId="FigureTitle">
    <w:name w:val="FigureTitle"/>
    <w:basedOn w:val="Body"/>
    <w:rsid w:val="009A1627"/>
    <w:pPr>
      <w:spacing w:after="120"/>
      <w:jc w:val="center"/>
    </w:pPr>
    <w:rPr>
      <w:i/>
    </w:rPr>
  </w:style>
  <w:style w:type="paragraph" w:customStyle="1" w:styleId="TableHeading">
    <w:name w:val="TableHeading"/>
    <w:rsid w:val="009A162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lang w:val="fr-FR" w:eastAsia="fr-FR"/>
    </w:rPr>
  </w:style>
  <w:style w:type="paragraph" w:customStyle="1" w:styleId="TableCell">
    <w:name w:val="TableCell"/>
    <w:basedOn w:val="Body"/>
    <w:rsid w:val="009A1627"/>
    <w:pPr>
      <w:jc w:val="left"/>
    </w:pPr>
  </w:style>
  <w:style w:type="paragraph" w:customStyle="1" w:styleId="Equation">
    <w:name w:val="Equation"/>
    <w:basedOn w:val="Normal"/>
    <w:rsid w:val="009A1627"/>
    <w:pPr>
      <w:spacing w:before="120" w:after="120"/>
      <w:jc w:val="right"/>
    </w:pPr>
    <w:rPr>
      <w:sz w:val="22"/>
    </w:rPr>
  </w:style>
  <w:style w:type="paragraph" w:customStyle="1" w:styleId="SubBullet">
    <w:name w:val="SubBullet"/>
    <w:basedOn w:val="Body"/>
    <w:rsid w:val="009A1627"/>
    <w:pPr>
      <w:ind w:left="1145" w:hanging="283"/>
    </w:pPr>
  </w:style>
  <w:style w:type="paragraph" w:customStyle="1" w:styleId="Reference">
    <w:name w:val="Reference"/>
    <w:basedOn w:val="Normal"/>
    <w:rsid w:val="009A1627"/>
    <w:pPr>
      <w:spacing w:before="60" w:after="60"/>
      <w:ind w:left="288" w:hanging="288"/>
    </w:pPr>
  </w:style>
  <w:style w:type="paragraph" w:styleId="FootnoteText">
    <w:name w:val="footnote text"/>
    <w:basedOn w:val="Normal"/>
    <w:semiHidden/>
    <w:rsid w:val="009A1627"/>
    <w:rPr>
      <w:sz w:val="18"/>
    </w:rPr>
  </w:style>
  <w:style w:type="character" w:styleId="FootnoteReference">
    <w:name w:val="footnote reference"/>
    <w:semiHidden/>
    <w:rsid w:val="009A1627"/>
    <w:rPr>
      <w:rFonts w:cs="Times New Roman"/>
      <w:vertAlign w:val="superscript"/>
    </w:rPr>
  </w:style>
  <w:style w:type="paragraph" w:customStyle="1" w:styleId="Enumerated">
    <w:name w:val="Enumerated"/>
    <w:basedOn w:val="Bullet"/>
    <w:rsid w:val="009A1627"/>
  </w:style>
  <w:style w:type="paragraph" w:customStyle="1" w:styleId="ColorfulGrid-Accent11">
    <w:name w:val="Colorful Grid - Accent 11"/>
    <w:basedOn w:val="Body"/>
    <w:qFormat/>
    <w:rsid w:val="009A1627"/>
    <w:pPr>
      <w:spacing w:before="0" w:after="0"/>
      <w:ind w:left="446" w:firstLine="144"/>
    </w:pPr>
  </w:style>
  <w:style w:type="paragraph" w:customStyle="1" w:styleId="Correspondence">
    <w:name w:val="Correspondence"/>
    <w:basedOn w:val="Body"/>
    <w:rsid w:val="009A1627"/>
    <w:pPr>
      <w:ind w:left="180" w:firstLine="90"/>
    </w:pPr>
    <w:rPr>
      <w:sz w:val="18"/>
    </w:rPr>
  </w:style>
  <w:style w:type="paragraph" w:customStyle="1" w:styleId="BulletText">
    <w:name w:val="BulletText"/>
    <w:basedOn w:val="Bullet"/>
    <w:rsid w:val="009A1627"/>
  </w:style>
  <w:style w:type="character" w:styleId="Emphasis">
    <w:name w:val="Emphasis"/>
    <w:qFormat/>
    <w:rsid w:val="009A1627"/>
    <w:rPr>
      <w:rFonts w:cs="Times New Roman"/>
      <w:i/>
      <w:iCs/>
    </w:rPr>
  </w:style>
  <w:style w:type="character" w:styleId="Hyperlink">
    <w:name w:val="Hyperlink"/>
    <w:rsid w:val="009A1627"/>
    <w:rPr>
      <w:rFonts w:cs="Times New Roman"/>
      <w:color w:val="0000FF"/>
      <w:u w:val="single"/>
    </w:rPr>
  </w:style>
  <w:style w:type="paragraph" w:customStyle="1" w:styleId="Textedebulles">
    <w:name w:val="Texte de bulles"/>
    <w:basedOn w:val="Normal"/>
    <w:semiHidden/>
    <w:rsid w:val="009A1627"/>
    <w:rPr>
      <w:rFonts w:ascii="Tahoma" w:hAnsi="Tahoma" w:cs="Tahoma"/>
      <w:sz w:val="16"/>
      <w:szCs w:val="16"/>
    </w:rPr>
  </w:style>
  <w:style w:type="paragraph" w:customStyle="1" w:styleId="StyleFigureTitle">
    <w:name w:val="Style FigureTitle"/>
    <w:basedOn w:val="FigureTitle"/>
    <w:rsid w:val="009A1627"/>
    <w:pPr>
      <w:spacing w:before="120" w:after="240"/>
    </w:pPr>
    <w:rPr>
      <w:iCs/>
    </w:rPr>
  </w:style>
  <w:style w:type="paragraph" w:customStyle="1" w:styleId="BalloonText1">
    <w:name w:val="Balloon Text1"/>
    <w:basedOn w:val="Normal"/>
    <w:semiHidden/>
    <w:rsid w:val="009A162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A162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9A1627"/>
  </w:style>
  <w:style w:type="paragraph" w:customStyle="1" w:styleId="CommentSubject1">
    <w:name w:val="Comment Subject1"/>
    <w:basedOn w:val="CommentText"/>
    <w:next w:val="CommentText"/>
    <w:semiHidden/>
    <w:rsid w:val="009A1627"/>
    <w:rPr>
      <w:b/>
      <w:bCs/>
    </w:rPr>
  </w:style>
  <w:style w:type="paragraph" w:styleId="DocumentMap">
    <w:name w:val="Document Map"/>
    <w:basedOn w:val="Normal"/>
    <w:semiHidden/>
    <w:rsid w:val="009A1627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8F1B19"/>
  </w:style>
  <w:style w:type="paragraph" w:styleId="BalloonText">
    <w:name w:val="Balloon Text"/>
    <w:basedOn w:val="Normal"/>
    <w:link w:val="BalloonTextChar"/>
    <w:rsid w:val="00A9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6574"/>
    <w:rPr>
      <w:rFonts w:ascii="Tahoma" w:hAnsi="Tahoma" w:cs="Tahoma"/>
      <w:sz w:val="16"/>
      <w:szCs w:val="16"/>
      <w:lang w:val="en-US" w:eastAsia="fr-FR"/>
    </w:rPr>
  </w:style>
  <w:style w:type="paragraph" w:styleId="ListParagraph">
    <w:name w:val="List Paragraph"/>
    <w:basedOn w:val="Normal"/>
    <w:uiPriority w:val="34"/>
    <w:qFormat/>
    <w:rsid w:val="0050645F"/>
    <w:pPr>
      <w:overflowPunct/>
      <w:autoSpaceDE/>
      <w:autoSpaceDN/>
      <w:adjustRightInd/>
      <w:spacing w:before="240" w:after="240" w:line="360" w:lineRule="auto"/>
      <w:ind w:left="720"/>
      <w:contextualSpacing/>
      <w:textAlignment w:val="auto"/>
    </w:pPr>
    <w:rPr>
      <w:rFonts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journal/106750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26247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Cohen</dc:creator>
  <cp:lastModifiedBy>Jason</cp:lastModifiedBy>
  <cp:revision>14</cp:revision>
  <cp:lastPrinted>2013-04-22T11:32:00Z</cp:lastPrinted>
  <dcterms:created xsi:type="dcterms:W3CDTF">2013-06-06T07:20:00Z</dcterms:created>
  <dcterms:modified xsi:type="dcterms:W3CDTF">2013-06-14T22:07:00Z</dcterms:modified>
</cp:coreProperties>
</file>